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16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5232400</wp:posOffset>
            </wp:positionH>
            <wp:positionV relativeFrom="paragraph">
              <wp:posOffset>-578485</wp:posOffset>
            </wp:positionV>
            <wp:extent cx="7620" cy="5791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3917315</wp:posOffset>
            </wp:positionH>
            <wp:positionV relativeFrom="paragraph">
              <wp:posOffset>-586105</wp:posOffset>
            </wp:positionV>
            <wp:extent cx="7620" cy="5867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6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3940810</wp:posOffset>
            </wp:positionH>
            <wp:positionV relativeFrom="paragraph">
              <wp:posOffset>-562610</wp:posOffset>
            </wp:positionV>
            <wp:extent cx="1275715" cy="540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54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-1701800</wp:posOffset>
            </wp:positionH>
            <wp:positionV relativeFrom="paragraph">
              <wp:posOffset>30480</wp:posOffset>
            </wp:positionV>
            <wp:extent cx="6974205" cy="16675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4205" cy="1667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Sweetser Jeff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0"/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MediaAlpha,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MAX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2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MEDIAALPHA,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10/30/2020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700 SOUTH FLOWER STREET, SUITE 640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LOS ANGELES  CA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9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9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B COMMON STOCK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10/30/2020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28,929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164,541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B-1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CLASS 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 OF QL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28,929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10/30/2020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28,929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164,541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HOLDINGS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LLC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91,888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10/30/2020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91,888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91,888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-3268345</wp:posOffset>
            </wp:positionV>
            <wp:extent cx="7036435" cy="3256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435" cy="325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20" w:hanging="4"/>
        <w:spacing w:after="0" w:line="246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October 27, 2020, MediaAlpha, Inc. (the "Issuer"), closed its initial public offering (the "IPO") of its shares of Class A common stock, par value $0.01 per share (the "Class A Common Stock"). A portion of the net proceeds to the Issuer from the sale of shares of Class A common stock in the IPO was used to purchase 28,929 Class B-1 units of QL Holdings LLC (the "Class B-1 Units" and "QLH", respectively) (together with an equivalent number of shares of Class B Common Stock, par value $0.01 per share (the "Class B Stock")) from the Reporting Person, at a price of $17.67 per Class B-1 Unit (and no additional consideration for the shares of Class B Stock).</w:t>
      </w:r>
    </w:p>
    <w:p>
      <w:pPr>
        <w:spacing w:after="0" w:line="2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hanging="4"/>
        <w:spacing w:after="0" w:line="263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Pursuant to the Exchange Agreement, dated October 27, 2020, among the Issuer, QLH, Guilford Holdings, Inc. and the Class B-1 members of QLH, each Class B-1 Unit (together with one share of Class B Stock for every Class B-1 Unit) is exchangeable for one share of the Issuer's Class A Common Stock, par value $0.01 per share, subject to vesting conditions set forth in separate agreements. Pursuant to the executive's award agreements, 25% of the equity granted will vest on the first anniversary of the vesting commencement date set forth in the agreement, and the remaining 75% of the equity will vest ratably each month over the following</w:t>
      </w:r>
    </w:p>
    <w:p>
      <w:pPr>
        <w:ind w:left="180" w:hanging="14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months.</w:t>
      </w:r>
    </w:p>
    <w:p>
      <w:pPr>
        <w:spacing w:after="0" w:line="3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grant of restricted stock units under the Issuer's Omnibus Incentive Plan granted in connection with the IPO, effective as of October 30, 2020.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will vest quarterly over the first three years following the date of grant, subject to continued employment with the Issuer through each vesting date.</w:t>
      </w:r>
    </w:p>
    <w:p>
      <w:pPr>
        <w:spacing w:after="0" w:line="4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a contingent right to receive one share of Class A Common Stock.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VICE PRESIDENT, SUPPLY PARTNERSHIPS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/s/ Lance Martinez,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11/02/2020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fact for Sweetser Jeff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4"/>
        <w:spacing w:after="0" w:line="319" w:lineRule="auto"/>
        <w:tabs>
          <w:tab w:leader="none" w:pos="17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36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19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2020-11-03T15:48:23Z</dcterms:created>
  <dcterms:modified xsi:type="dcterms:W3CDTF">2020-11-03T15:48:23Z</dcterms:modified>
</cp:coreProperties>
</file>