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UNITED STATES</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lineRule="auto" w:line="288" w:before="240" w:after="283"/>
        <w:jc w:val="center"/>
        <w:rPr/>
      </w:pPr>
      <w:r>
        <w:rPr>
          <w:rFonts w:ascii="Times New Roman;serif" w:hAnsi="Times New Roman;serif"/>
          <w:b/>
          <w:color w:val="000000"/>
          <w:sz w:val="20"/>
          <w:shd w:fill="FFFFFF" w:val="clear"/>
        </w:rPr>
        <w:t>Date of Report (Date of earliest event reported</w:t>
      </w:r>
      <w:r>
        <w:rPr>
          <w:rFonts w:ascii="Times New Roman;serif" w:hAnsi="Times New Roman;serif"/>
          <w:b/>
          <w:color w:val="000000"/>
          <w:sz w:val="20"/>
        </w:rPr>
        <w:t>): September 2,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MediaAlpha,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_____________________________</w:t>
      </w:r>
    </w:p>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001-39671</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85-1854133</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3973" w:type="dxa"/>
        <w:jc w:val="left"/>
        <w:tblInd w:w="0" w:type="dxa"/>
        <w:tblLayout w:type="fixed"/>
        <w:tblCellMar>
          <w:top w:w="28" w:type="dxa"/>
          <w:left w:w="28" w:type="dxa"/>
          <w:bottom w:w="28" w:type="dxa"/>
          <w:right w:w="28" w:type="dxa"/>
        </w:tblCellMar>
      </w:tblPr>
      <w:tblGrid>
        <w:gridCol w:w="1102"/>
        <w:gridCol w:w="968"/>
        <w:gridCol w:w="974"/>
        <w:gridCol w:w="272"/>
        <w:gridCol w:w="272"/>
        <w:gridCol w:w="385"/>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700 South Flower Street</w:t>
            </w:r>
            <w:r>
              <w:rPr>
                <w:rFonts w:ascii="Arial;sans-serif" w:hAnsi="Arial;sans-serif"/>
                <w:b w:val="false"/>
                <w:color w:val="000000"/>
                <w:sz w:val="24"/>
              </w:rPr>
              <w:t xml:space="preserve">, </w:t>
            </w:r>
            <w:r>
              <w:rPr>
                <w:rFonts w:ascii="Times New Roman;serif" w:hAnsi="Times New Roman;serif"/>
                <w:b/>
                <w:color w:val="000000"/>
                <w:sz w:val="20"/>
              </w:rPr>
              <w:t>Suite 640</w:t>
            </w:r>
          </w:p>
          <w:p>
            <w:pPr>
              <w:pStyle w:val="TableContents"/>
              <w:bidi w:val="0"/>
              <w:spacing w:lineRule="auto" w:line="288" w:before="0" w:after="0"/>
              <w:jc w:val="center"/>
              <w:rPr/>
            </w:pPr>
            <w:r>
              <w:rPr>
                <w:rFonts w:ascii="Times New Roman;serif" w:hAnsi="Times New Roman;serif"/>
                <w:b/>
                <w:color w:val="000000"/>
                <w:sz w:val="20"/>
              </w:rPr>
              <w:t>Los Angeles</w:t>
            </w:r>
            <w:r>
              <w:rPr>
                <w:rFonts w:ascii="Arial;sans-serif" w:hAnsi="Arial;sans-serif"/>
                <w:b w:val="false"/>
                <w:color w:val="000000"/>
                <w:sz w:val="24"/>
              </w:rPr>
              <w:t xml:space="preserve">, </w:t>
            </w:r>
            <w:r>
              <w:rPr>
                <w:rFonts w:ascii="Times New Roman;serif" w:hAnsi="Times New Roman;serif"/>
                <w:b/>
                <w:color w:val="000000"/>
                <w:sz w:val="20"/>
              </w:rPr>
              <w:t>California</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90017</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(213) 316-6256</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(Registrant’s telephone number, including area code)</w:t>
      </w:r>
    </w:p>
    <w:p>
      <w:pPr>
        <w:pStyle w:val="TextBody"/>
        <w:bidi w:val="0"/>
        <w:spacing w:lineRule="auto" w:line="288" w:before="1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(Former name or former address, if changed since last report)</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01"/>
        <w:gridCol w:w="2843"/>
        <w:gridCol w:w="40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40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w:t>
            </w:r>
            <w:r>
              <w:rPr>
                <w:rFonts w:ascii="Times New Roman;serif" w:hAnsi="Times New Roman;serif"/>
                <w:b w:val="false"/>
                <w:color w:val="000000"/>
                <w:sz w:val="20"/>
              </w:rPr>
              <w:t>General Instruction A.2. below):</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488" w:type="dxa"/>
        <w:jc w:val="left"/>
        <w:tblInd w:w="0" w:type="dxa"/>
        <w:tblLayout w:type="fixed"/>
        <w:tblCellMar>
          <w:top w:w="28" w:type="dxa"/>
          <w:left w:w="28" w:type="dxa"/>
          <w:bottom w:w="28" w:type="dxa"/>
          <w:right w:w="28" w:type="dxa"/>
        </w:tblCellMar>
      </w:tblPr>
      <w:tblGrid>
        <w:gridCol w:w="1198"/>
        <w:gridCol w:w="1052"/>
        <w:gridCol w:w="1065"/>
        <w:gridCol w:w="109"/>
        <w:gridCol w:w="109"/>
        <w:gridCol w:w="109"/>
        <w:gridCol w:w="564"/>
        <w:gridCol w:w="564"/>
        <w:gridCol w:w="566"/>
        <w:gridCol w:w="109"/>
        <w:gridCol w:w="109"/>
        <w:gridCol w:w="109"/>
        <w:gridCol w:w="1118"/>
        <w:gridCol w:w="1118"/>
        <w:gridCol w:w="1589"/>
      </w:tblGrid>
      <w:tr>
        <w:trPr/>
        <w:tc>
          <w:tcPr>
            <w:tcW w:w="1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ableContents"/>
              <w:bidi w:val="0"/>
              <w:spacing w:lineRule="auto" w:line="240" w:before="18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ableContents"/>
              <w:bidi w:val="0"/>
              <w:spacing w:lineRule="auto" w:line="240"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    Appointment of Chief Financial Officer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 2026, the Board of Directors (the “Board”) of MediaAlpha, Inc. (the “Company”) approved the appointment of Tigran Sinanyan as Chief Financial Officer and Treasurer, principal financial officer and principal accounting officer effective October 1, 2026. The Company and Mr. Sinanyan entered into an Employment Agreement, the terms of which are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Tigran Sinanyan, age 44, has served as Senior Vice President, Finance and Corporate Development of the Company since July 2025. Mr. Sinanyan previously served as the Company’s Chief Financial Officer from August 2015 to October 2021, and Vice President, Finance from January 2012 to August 2015. Prior to rejoining the Company, Mr. Sinanyan served as Chief Financial Officer of SmartFinancial, a digital insurance marketplace, from January 2025 to July 2025. From January 2022 to January 2025, Mr. Sinanyan served as an independent consultant and board member to several marketplace businesses in the performance marketing and ad tech sectors, spanning both insurance and non-insurance verticals. Mr. Sinanyan received a bachelor of science degree in Business Administration from the University of California, Berkeley, Haas School of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Mr. Sinanyan and any other persons in connection with Mr. Sinanyan’s appointment as the Company’s Chief Financial Officer and Treasurer (other than the Employment Agreement), there are no family relationships between Mr. Sinanyan and any director or executive officer of the Company, and Mr. Sinanyan does not have any transactions reportable under Item 404(a) of Regulation 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Employment Agreement provides that Mr. Sinanyan will be (a) paid an annual base salary of $475,000, which will be reviewed annually, and may be increased but not decreased, (b) eligible to receive annual incentive bonuses under the Company’s annual bonus program applicable to its senior executive officers, as established by the Compensation Committee of the Board, with his target incentive amount set (i) for 2026, the weighted average of his target bonus for his prior position and new position (adjusted based on time in each role), or $293,200, and (ii) starting in 2027, at 70% of his annual base salary, and (c) eligible to receive annual equity awards beginning in calendar year 2027.</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Employment Agreement also provides that the Company will grant Mr. Sinanyan a restricted stock unit (“RSU”) award covering a number of shares of the Company’s Class A common stock having a total grant date value equal to $252,100, so that Mr. Sinanyan’s total RSU awards for 2026 reflect a weighted average RSU award for his prior position and new position (adjusted based on time in each role). Such award will vest over a four-year period, subject to Mr. Sinanyan’s continued employment through the relevant vesting dates. The number of shares of the Company’s Class A common stock subject to the RSU award will be determined by dividing the applicable grant date value by the average closing price of the Company’s Class A common stock for the 10-day period ended the Friday immediately preceding the effective date of his appointment.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Employment Agreement provides that, if Mr. Sinanyan’s employment is terminated by the Company other than for Cause (as defined in the Employment Agreement), or if he resigns for Good Reason (as defined in the Employment Agreement) (each, a “Qualifying Termination”), then, subject to the execution of a release of claims against the Company, Mr. Sinanyan will be entitled to receive (a) a severance payment in the form of continued salary payments in an amount equal to 12 months of his monthly base salary, (b) his target annual incentive bonus for the year in which the termination occurs, prorated based on the completed portion of the applicable performance period through the date of termination (subject to a six-month minimum), payable in installments over the severance period, (c) accelerated vesting of all time-based equity awards held by him that would have vested during the period of 12 months following his termination date, and (d) continued payment of Company contributions to the cost of health insurance for Mr. Sinanyan and his dependents for a period of 12 months following his termination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Employment Agreement also provides that, in the event of a Qualifying Termination within three months preceding or 12 months following a change of control of the Company (as defined in the Company’s Omnibus Incentive Plan), Mr. Sinanyan will be entitled to the same benefits and payments described above, and the following additional benefits: (a) an additional severance payment equal to six months of his monthly base salary, which amount, together with any unpaid portion of his severance and target bonus set forth in the preceding paragraph, will be payable in a lump sum upon the later to occur of his termination date or such change of control, (b) accelerated vesting of all time-based equity awards held by him, and (c) continued payment of Company health insurance contributions for an additional six months.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Employment Agreement does not purport to be complete and is qualified in its entirety by reference to the full text of the Employment Agreement, which is attached to this Current Report on Form 8-K as Exhibit 10.1 and incorporated by reference.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    Departure of Chief Financial Officer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 2026, Patrick Thompson, the Company’s Chief Financial Officer, principal financial officer and principal accounting officer, notified the Company of his intention to step down as Chief Financial Officer. Mr. Thompson has agreed to continue to serve as Chief Financial Officer until October 1, 2026 to assist with an effective transition of his duties and responsibilities. Accordingly, on September 2, 2026, Mr. Thompson and the Company entered into a transition agreement (the “Transition Agreement”). Mr. Thompson’s last day of employment will be October 30, 2026. Under the Transition Agreement, following execution of a standard release, Mr. Thompson will serve as a consultant to the Company through February 26, 2027 and continue to vest his outstanding restricted stock unit awards that were scheduled to vest through that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Mr. Thompson has confirmed that this transition is not related to any disagreement with the Company on any matter relating to its accounting, strategy, management, operations, policies, regulatory matters, or practices (financial or otherwise).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Mr. Thompson’s departure, pursuant to the terms of the Employment Agreement dated November 2, 2021 (the “Thompson Agreement”) between the Company, QuoteLab, LLC and Mr. Thompson, a copy of which is attached as Exhibit 10.1 to the Company’s Current Report on Form 8-K filed on November 3, 2021, Mr. Thompson is entitled to certain benefits based on his resignation for Good Reason (as defined in the Thompson Agreement) in exchange for the execution of a general settlement and release agreement in substantially the form attached as an exhibit to the Thompson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Transition Agreement is qualified in its entirety by reference to the full text of the Transition Agreement, which is attached to this Current Report on Form 8-K as Exhibit 10.2 and incorporated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7.01 Regulation FD Disclosure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3, 2026, the Company issued a press release related to the matter described above.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such press release, the Company also provided an update regarding its expectations for the third quarter of 2026. The Company now expects third quarter 2026 Revenue, Contribution, and Adjusted EBITDA to be at or above the top end of its previously disclosed guidance ranges included in its second quarter earnings release issued on July 29, 2026. Please refer to the Company’s second quarter earnings release for such guidance ranges and information regarding such financial measures.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furnished as Exhibit 99.1 to this Current Report on Form 8-K. The press release and this information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to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 Financial Statements and Exhibits.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2759"/>
        <w:gridCol w:w="2759"/>
        <w:gridCol w:w="393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3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w:t>
            </w:r>
          </w:p>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w:t>
            </w:r>
          </w:p>
        </w:tc>
        <w:tc>
          <w:tcPr>
            <w:tcW w:w="9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employmentagreem.htm">
              <w:r>
                <w:rPr>
                  <w:rStyle w:val="InternetLink"/>
                  <w:rFonts w:ascii="Times New Roman;serif" w:hAnsi="Times New Roman;serif"/>
                  <w:b w:val="false"/>
                  <w:color w:val="0000FF"/>
                  <w:sz w:val="20"/>
                  <w:u w:val="single"/>
                </w:rPr>
                <w:t>Employment Agreement dated as of September 2, 2026, by and among Tigran Sinanyan, QuoteLab LLC, and MediaAlpha, Inc.</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102transitionagreem.htm">
              <w:r>
                <w:rPr>
                  <w:rStyle w:val="InternetLink"/>
                  <w:rFonts w:ascii="Times New Roman;serif" w:hAnsi="Times New Roman;serif"/>
                  <w:b w:val="false"/>
                  <w:color w:val="0000FF"/>
                  <w:sz w:val="20"/>
                  <w:u w:val="single"/>
                </w:rPr>
                <w:t>Transition Agreement dated as of September 2, 2026, by and among Patrick Thompson, QuoteLab LLC, and MediaAlpha, Inc.</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4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1pressrelease.htm">
              <w:r>
                <w:rPr>
                  <w:rStyle w:val="InternetLink"/>
                  <w:rFonts w:ascii="Times New Roman;serif" w:hAnsi="Times New Roman;serif"/>
                  <w:b w:val="false"/>
                  <w:color w:val="000080"/>
                  <w:sz w:val="20"/>
                  <w:u w:val="single"/>
                </w:rPr>
                <w:t xml:space="preserve">Press release dated </w:t>
              </w:r>
            </w:hyperlink>
            <w:hyperlink w:anchor="exhibit991pressrelease.htm">
              <w:r>
                <w:rPr>
                  <w:rStyle w:val="InternetLink"/>
                  <w:rFonts w:ascii="Times New Roman;serif" w:hAnsi="Times New Roman;serif"/>
                  <w:b w:val="false"/>
                  <w:color w:val="000080"/>
                  <w:sz w:val="20"/>
                  <w:u w:val="single"/>
                </w:rPr>
                <w:t>September</w:t>
              </w:r>
            </w:hyperlink>
            <w:hyperlink w:anchor="exhibit991pressrelease.htm">
              <w:r>
                <w:rPr>
                  <w:rStyle w:val="InternetLink"/>
                  <w:rFonts w:ascii="Times New Roman;serif" w:hAnsi="Times New Roman;serif"/>
                  <w:b w:val="false"/>
                  <w:color w:val="000080"/>
                  <w:sz w:val="20"/>
                  <w:u w:val="single"/>
                </w:rPr>
                <w:t xml:space="preserve"> </w:t>
              </w:r>
            </w:hyperlink>
            <w:hyperlink w:anchor="exhibit991pressrelease.htm">
              <w:r>
                <w:rPr>
                  <w:rStyle w:val="InternetLink"/>
                  <w:rFonts w:ascii="Times New Roman;serif" w:hAnsi="Times New Roman;serif"/>
                  <w:b w:val="false"/>
                  <w:color w:val="000080"/>
                  <w:sz w:val="20"/>
                  <w:u w:val="single"/>
                </w:rPr>
                <w:t>3</w:t>
              </w:r>
            </w:hyperlink>
            <w:hyperlink w:anchor="exhibit991pressrelease.htm">
              <w:r>
                <w:rPr>
                  <w:rStyle w:val="InternetLink"/>
                  <w:rFonts w:ascii="Times New Roman;serif" w:hAnsi="Times New Roman;serif"/>
                  <w:b w:val="false"/>
                  <w:color w:val="000080"/>
                  <w:sz w:val="20"/>
                  <w:u w:val="single"/>
                </w:rPr>
                <w:t>, 2026.</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923" w:type="dxa"/>
        <w:jc w:val="left"/>
        <w:tblInd w:w="0" w:type="dxa"/>
        <w:tblLayout w:type="fixed"/>
        <w:tblCellMar>
          <w:top w:w="28" w:type="dxa"/>
          <w:left w:w="28" w:type="dxa"/>
          <w:bottom w:w="28" w:type="dxa"/>
          <w:right w:w="28" w:type="dxa"/>
        </w:tblCellMar>
      </w:tblPr>
      <w:tblGrid>
        <w:gridCol w:w="764"/>
        <w:gridCol w:w="673"/>
        <w:gridCol w:w="677"/>
        <w:gridCol w:w="170"/>
        <w:gridCol w:w="170"/>
        <w:gridCol w:w="170"/>
        <w:gridCol w:w="270"/>
        <w:gridCol w:w="270"/>
        <w:gridCol w:w="270"/>
        <w:gridCol w:w="724"/>
        <w:gridCol w:w="724"/>
        <w:gridCol w:w="1041"/>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MediaAlpha,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B. Coyne</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B. Coyne</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&amp;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EMPLOYMENT AGREEMENT</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Employment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September 2, 2026 is by and among Tigran Sinanyan (the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QuoteLab, LLC, a Delaware limited liability company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MediaAlpha, Inc., a Delaware corporation and ultimate parent of the Company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WITNESSETH:</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WHEREAS, the Company and Executive mutually desire to enter into an agreement containing the terms and conditions pursuant to which the Company will employ Executive and Executive will provide services to the Company Group (as defined in </w:t>
      </w:r>
      <w:r>
        <w:rPr>
          <w:rFonts w:ascii="Times New Roman;serif" w:hAnsi="Times New Roman;serif"/>
          <w:b w:val="false"/>
          <w:color w:val="000000"/>
          <w:sz w:val="22"/>
          <w:u w:val="single"/>
        </w:rPr>
        <w:t>Section 5(e)(ii)</w:t>
      </w:r>
      <w:r>
        <w:rPr>
          <w:color w:val="000000"/>
        </w:rPr>
        <w:t xml:space="preserve"> </w:t>
      </w:r>
      <w:r>
        <w:rPr>
          <w:rFonts w:ascii="Times New Roman;serif" w:hAnsi="Times New Roman;serif"/>
          <w:b w:val="false"/>
          <w:color w:val="000000"/>
          <w:sz w:val="22"/>
        </w:rPr>
        <w:t>below) from and after the Effective Date (as defined in Section 2 below);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by entering into this Agreement, the Executive, the Company and Parent desire to supersede any prior agreements or understandings, whether written or oral, among the parties hereto relating to the subject matter hereof;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capitalized terms used but not defined herein shall have the meanings ascribed to them in Parent’s 2020 Omnibus Incentive Plan (as may be amended, restated or succeeded from time to time, the “</w:t>
      </w:r>
      <w:r>
        <w:rPr>
          <w:rFonts w:ascii="Times New Roman;serif" w:hAnsi="Times New Roman;serif"/>
          <w:b w:val="false"/>
          <w:color w:val="000000"/>
          <w:sz w:val="22"/>
          <w:u w:val="single"/>
        </w:rPr>
        <w:t>Omnibus Plan</w:t>
      </w:r>
      <w:r>
        <w:rPr>
          <w:color w:val="000000"/>
        </w:rPr>
        <w:t>”</w:t>
      </w:r>
      <w:r>
        <w:rPr>
          <w:rFonts w:ascii="Times New Roman;serif" w:hAnsi="Times New Roman;serif"/>
          <w:b w:val="false"/>
          <w:color w:val="000000"/>
          <w:sz w:val="22"/>
        </w:rPr>
        <w:t>) on the Effective Date.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of the covenants and agreements set forth in this Agreement, the parties hereto hereby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2"/>
          <w:u w:val="single"/>
        </w:rPr>
        <w:t>Employment</w:t>
      </w:r>
      <w:r>
        <w:rPr>
          <w:rFonts w:ascii="Times New Roman;serif" w:hAnsi="Times New Roman;serif"/>
          <w:b w:val="false"/>
          <w:color w:val="000000"/>
          <w:sz w:val="22"/>
        </w:rPr>
        <w:t>. Subject to the terms and conditions set forth in this Agreement, the Company hereby offers, and the Executive hereby accepts, employment with the Company upon the terms and conditions set forth in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2"/>
          <w:u w:val="single"/>
        </w:rPr>
        <w:t>Term</w:t>
      </w:r>
      <w:r>
        <w:rPr>
          <w:rFonts w:ascii="Times New Roman;serif" w:hAnsi="Times New Roman;serif"/>
          <w:b w:val="false"/>
          <w:color w:val="000000"/>
          <w:sz w:val="22"/>
        </w:rPr>
        <w:t>. The term of employment of the Executive pursuant to this Agreement shall commence on October 1, 2026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xml:space="preserve">), and shall continue until terminated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hereof (the “</w:t>
      </w:r>
      <w:r>
        <w:rPr>
          <w:rFonts w:ascii="Times New Roman;serif" w:hAnsi="Times New Roman;serif"/>
          <w:b w:val="false"/>
          <w:color w:val="000000"/>
          <w:sz w:val="22"/>
          <w:u w:val="single"/>
        </w:rPr>
        <w:t>Employment Term</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2"/>
          <w:u w:val="single"/>
        </w:rPr>
        <w:t>Duties and Responsibilities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2"/>
        </w:rPr>
        <w:t>During the Employment Term, the Executive shall serve as Chief Financial Officer of Parent and the Company, reporting directly to the Chief Executive Officer of Parent (the “</w:t>
      </w:r>
      <w:r>
        <w:rPr>
          <w:rFonts w:ascii="Times New Roman;serif" w:hAnsi="Times New Roman;serif"/>
          <w:b w:val="false"/>
          <w:color w:val="000000"/>
          <w:sz w:val="22"/>
          <w:u w:val="single"/>
        </w:rPr>
        <w:t>CEO</w:t>
      </w:r>
      <w:r>
        <w:rPr>
          <w:color w:val="000000"/>
        </w:rPr>
        <w:t>”</w:t>
      </w:r>
      <w:r>
        <w:rPr>
          <w:rFonts w:ascii="Times New Roman;serif" w:hAnsi="Times New Roman;serif"/>
          <w:b w:val="false"/>
          <w:color w:val="000000"/>
          <w:sz w:val="22"/>
        </w:rPr>
        <w:t>) or his or her designee.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2"/>
        </w:rPr>
        <w:t>The Executive shall be employed by the Company on a full-time basis and, during the Employment Term, shall perform the duties and responsibilities, and shall have the powers and authority, as are normally associated with the office of Chief Financial Officer and shall have such other duties, responsibilities, power and authority as may be reasonably designated from time to time by the CEO or Board. The Executive shall work from the Company’s offices located in Los Angeles, California, subject to remote work in accordance with the Company’s hybrid work policies in effect from time to time and to reasonable business travel in connection with the performance of the Executive’s duties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2"/>
        </w:rPr>
        <w:t xml:space="preserve">The Executive shall perform his duties, responsibilities and functions to the Parent and Company hereunder to the best of his abilities in a diligent, trustworthy, professional and efficient manner and shall comply with the Company Group’s policies and procedures in all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respects. In performing his duties and exercising his authority under this Agreement, the Executive shall support and implement the business and strategic plans approved from time to time by the Board and shall support and cooperate with the Company Group’s efforts to expand their businesses and operate profitably and in conformity with the business and strategic plans approved by the Board.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2"/>
        </w:rPr>
        <w:t xml:space="preserve">During the Employment Term, the Executive shall devote all his business time, attention and efforts, as well as his business judgment, skill and knowledge to the advancement of the business and the interests of the Company Group, and to the discharge of his duties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Executive may make and manage passive personal investments on behalf of the Executive and his family, or engage in other activities for any civic or non-profit institution,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activities do not conflict with the interests of the Company Group or otherwise interfere (other than in a de minimis respect) with the discharge of the Executive’s duties and responsibilities hereunder. During the Employment Term, the Executive shall not devote any of his time or efforts to the development, advancement or operation of any other for-profit venture or activity;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subject to the Company’s prior written approval, the Executive shall be permitted to serve on up to two boards of directors of for-profit entities at any time or from time to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activities do not conflict with the interests of the Company Group or otherwise interfere (other than in a de minimis respect) with the discharge of the Executive’s duties and responsibilities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2"/>
        </w:rPr>
        <w:t>The Executive represents and warrants that, as of the date of this Agreement, the Executive is not bound by any employment, consulting, non-competition, confidentiality or other agreement or arrangement that would, or would reasonably be expected to, prohibit or restrict the Executive from becoming employed by the Company or performing the Executive’s services, duties and obligations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2"/>
          <w:u w:val="single"/>
        </w:rPr>
        <w:t>Compensation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For all services rendered by the Executive to the Company Group, the Company shall pay or cause to be paid to the Executive the payments and benefits set forth in this </w:t>
      </w:r>
      <w:r>
        <w:rPr>
          <w:rFonts w:ascii="Times New Roman;serif" w:hAnsi="Times New Roman;serif"/>
          <w:b w:val="false"/>
          <w:color w:val="000000"/>
          <w:sz w:val="22"/>
          <w:u w:val="single"/>
        </w:rPr>
        <w:t>Section 4</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2"/>
          <w:u w:val="single"/>
        </w:rPr>
        <w:t>Base Salary</w:t>
      </w:r>
      <w:r>
        <w:rPr>
          <w:rFonts w:ascii="Times New Roman;serif" w:hAnsi="Times New Roman;serif"/>
          <w:b w:val="false"/>
          <w:color w:val="000000"/>
          <w:sz w:val="22"/>
        </w:rPr>
        <w:t xml:space="preserve">. The Company shall pay the Executive a base salary at the rate of $475,000 per annum (as increased from time to time pursuant to this </w:t>
      </w:r>
      <w:r>
        <w:rPr>
          <w:rFonts w:ascii="Times New Roman;serif" w:hAnsi="Times New Roman;serif"/>
          <w:b w:val="false"/>
          <w:color w:val="000000"/>
          <w:sz w:val="22"/>
          <w:u w:val="single"/>
        </w:rPr>
        <w:t>Section 4(b)</w:t>
      </w:r>
      <w:r>
        <w:rPr>
          <w:rFonts w:ascii="Times New Roman;serif" w:hAnsi="Times New Roman;serif"/>
          <w:b w:val="false"/>
          <w:color w:val="000000"/>
          <w:sz w:val="22"/>
        </w:rPr>
        <w:t>, “</w:t>
      </w:r>
      <w:r>
        <w:rPr>
          <w:rFonts w:ascii="Times New Roman;serif" w:hAnsi="Times New Roman;serif"/>
          <w:b w:val="false"/>
          <w:color w:val="000000"/>
          <w:sz w:val="22"/>
          <w:u w:val="single"/>
        </w:rPr>
        <w:t>Base Salary</w:t>
      </w:r>
      <w:r>
        <w:rPr>
          <w:color w:val="000000"/>
        </w:rPr>
        <w:t>”</w:t>
      </w:r>
      <w:r>
        <w:rPr>
          <w:rFonts w:ascii="Times New Roman;serif" w:hAnsi="Times New Roman;serif"/>
          <w:b w:val="false"/>
          <w:color w:val="000000"/>
          <w:sz w:val="22"/>
        </w:rPr>
        <w:t>), payable in accordance with the Company’s regular payroll practices, as such practices may be modified from time to time. The Executive’s Base Salary shall be subject to annual review by the Board or the Compensation Committee of the Board (the “</w:t>
      </w:r>
      <w:r>
        <w:rPr>
          <w:rFonts w:ascii="Times New Roman;serif" w:hAnsi="Times New Roman;serif"/>
          <w:b w:val="false"/>
          <w:color w:val="000000"/>
          <w:sz w:val="22"/>
          <w:u w:val="single"/>
        </w:rPr>
        <w:t>Committee</w:t>
      </w:r>
      <w:r>
        <w:rPr>
          <w:color w:val="000000"/>
        </w:rPr>
        <w:t>”</w:t>
      </w:r>
      <w:r>
        <w:rPr>
          <w:rFonts w:ascii="Times New Roman;serif" w:hAnsi="Times New Roman;serif"/>
          <w:b w:val="false"/>
          <w:color w:val="000000"/>
          <w:sz w:val="22"/>
        </w:rPr>
        <w:t>) in the first quarter of each year during the Employment Term following the Effective Date commencing with calendar year 2028, and may be increased, but not decreased below its then current level, from time to time by the Board or the Committee. Notwithstanding the foregoing, an across-the-board reduction in the Base Salary of the senior executives of the Company as a group by the same percentage amount and approved by the Board or the Committee will not constitute a decrease in the Base Salary.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2"/>
          <w:u w:val="single"/>
        </w:rPr>
        <w:t>Annual Bonus</w:t>
      </w:r>
      <w:r>
        <w:rPr>
          <w:rFonts w:ascii="Times New Roman;serif" w:hAnsi="Times New Roman;serif"/>
          <w:b w:val="false"/>
          <w:color w:val="000000"/>
          <w:sz w:val="22"/>
        </w:rPr>
        <w:t>. During the Employment Term, the Executive shall be eligible to receive an annual cash incentive payment under the Company’s annual bonus plan as may be in effect from time to time (the “</w:t>
      </w:r>
      <w:r>
        <w:rPr>
          <w:rFonts w:ascii="Times New Roman;serif" w:hAnsi="Times New Roman;serif"/>
          <w:b w:val="false"/>
          <w:color w:val="000000"/>
          <w:sz w:val="22"/>
          <w:u w:val="single"/>
        </w:rPr>
        <w:t>Annual Bonus</w:t>
      </w:r>
      <w:r>
        <w:rPr>
          <w:color w:val="000000"/>
        </w:rPr>
        <w:t>”</w:t>
      </w:r>
      <w:r>
        <w:rPr>
          <w:rFonts w:ascii="Times New Roman;serif" w:hAnsi="Times New Roman;serif"/>
          <w:b w:val="false"/>
          <w:color w:val="000000"/>
          <w:sz w:val="22"/>
        </w:rPr>
        <w:t>) based on a target bonus opportunity of 70% of the Executive’s Base Salary (the “</w:t>
      </w:r>
      <w:r>
        <w:rPr>
          <w:rFonts w:ascii="Times New Roman;serif" w:hAnsi="Times New Roman;serif"/>
          <w:b w:val="false"/>
          <w:color w:val="000000"/>
          <w:sz w:val="22"/>
          <w:u w:val="single"/>
        </w:rPr>
        <w:t>Target Bonus</w:t>
      </w:r>
      <w:r>
        <w:rPr>
          <w:color w:val="000000"/>
        </w:rPr>
        <w:t>”</w:t>
      </w:r>
      <w:r>
        <w:rPr>
          <w:rFonts w:ascii="Times New Roman;serif" w:hAnsi="Times New Roman;serif"/>
          <w:b w:val="false"/>
          <w:color w:val="000000"/>
          <w:sz w:val="22"/>
        </w:rPr>
        <w:t xml:space="preserve">), upon the attainment of one or more pre-established performance goals established by the Board or the Committee. The Annual Bonus, if any, shall be paid in a single lump sum during the calendar year following the calendar year with respect to which it is earned and as soon as reasonably practicable (but in any event, within thirty (30) days) following completion of the annual audit of the Company’s financial statements (on a consolidated basis) for the year to which the bonus relates, or such earlier date as is approved by the Board or the Committee, subject to the Executive’s continued employment through such payment date, and any earned annual bonus shall not be subject to further vesting or, except as may be elected by the Executive in compliance with Code Section 409A (as defined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60705"/>
                <wp:effectExtent l="0" t="0" r="0" b="0"/>
                <wp:wrapNone/>
                <wp:docPr id="7" name="Frame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below), deferral. Executive’s Target Bonus for 2026 shall be a weighted average of his target bonus in his prior position and his Target Bonus set forth above, prorated based on the portions of the year during which he served in each position. The Executive’s Target Bonus shall be subject to annual review by the Board or the Committee in the first quarter of each year during the Employment Term following the Effective Date commencing with calendar year 2028, and may be increased, but not decreased below its then current level, from time to time by the Board or the Committee. Notwithstanding the foregoing, an across-the-board reduction in the Target Bonus of the senior executives of the Company as a group by the same percentage amount and approved by the Board or the Committee will not constitute a decrease in the Target Bonus.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2"/>
          <w:u w:val="single"/>
        </w:rPr>
        <w:t>Equity Awards</w:t>
      </w:r>
      <w:r>
        <w:rPr>
          <w:rFonts w:ascii="Times New Roman;serif" w:hAnsi="Times New Roman;serif"/>
          <w:b w:val="false"/>
          <w:color w:val="000000"/>
          <w:sz w:val="22"/>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2"/>
          <w:u w:val="single"/>
        </w:rPr>
        <w:t>Initial Award</w:t>
      </w:r>
      <w:r>
        <w:rPr>
          <w:rFonts w:ascii="Times New Roman;serif" w:hAnsi="Times New Roman;serif"/>
          <w:b w:val="false"/>
          <w:color w:val="000000"/>
          <w:sz w:val="22"/>
        </w:rPr>
        <w:t>. Upon the Effective Date, Parent shall grant the Executive a restrictive stock unit (“</w:t>
      </w:r>
      <w:r>
        <w:rPr>
          <w:rFonts w:ascii="Times New Roman;serif" w:hAnsi="Times New Roman;serif"/>
          <w:b w:val="false"/>
          <w:color w:val="000000"/>
          <w:sz w:val="22"/>
          <w:u w:val="single"/>
        </w:rPr>
        <w:t>RSU</w:t>
      </w:r>
      <w:r>
        <w:rPr>
          <w:color w:val="000000"/>
        </w:rPr>
        <w:t>”</w:t>
      </w:r>
      <w:r>
        <w:rPr>
          <w:rFonts w:ascii="Times New Roman;serif" w:hAnsi="Times New Roman;serif"/>
          <w:b w:val="false"/>
          <w:color w:val="000000"/>
          <w:sz w:val="22"/>
        </w:rPr>
        <w:t>) award (the “</w:t>
      </w:r>
      <w:r>
        <w:rPr>
          <w:rFonts w:ascii="Times New Roman;serif" w:hAnsi="Times New Roman;serif"/>
          <w:b w:val="false"/>
          <w:color w:val="000000"/>
          <w:sz w:val="22"/>
          <w:u w:val="single"/>
        </w:rPr>
        <w:t>Initial Award</w:t>
      </w:r>
      <w:r>
        <w:rPr>
          <w:color w:val="000000"/>
        </w:rPr>
        <w:t>”</w:t>
      </w:r>
      <w:r>
        <w:rPr>
          <w:rFonts w:ascii="Times New Roman;serif" w:hAnsi="Times New Roman;serif"/>
          <w:b w:val="false"/>
          <w:color w:val="000000"/>
          <w:sz w:val="22"/>
        </w:rPr>
        <w:t>) covering a number of shares of Parent’s Class A common stock having a total grant date value equal to $252,100, which award shall vest over a four (4) year period, with 2/16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of such RSUs vested upon grant and the remaining 14/16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of such RSUs vesting in fourteen (14) equal quarterly installments on November 15, February 15, May 15, and August 15 thereafter, subject to the Executive’s continued employment hereunder through the relevant vesting date. The number of shares of Parent’s Class A common stock covered by each RSU set forth above shall be calculated by dividing the applicable total grant date value set forth above by the average closing price of a share of Parent’s Class A common stock for the ten (10) trading day period ended on the Friday immediately preceding the Effective Date, rounded up to the next 50 shares.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2"/>
          <w:u w:val="single"/>
        </w:rPr>
        <w:t>Future Awards</w:t>
      </w:r>
      <w:r>
        <w:rPr>
          <w:rFonts w:ascii="Times New Roman;serif" w:hAnsi="Times New Roman;serif"/>
          <w:b w:val="false"/>
          <w:color w:val="000000"/>
          <w:sz w:val="22"/>
        </w:rPr>
        <w:t>. In addition, beginning with the first calendar year during the Employment Term commencing with calendar year 2027, the Executive shall be eligible for annual equity awards, subject to the approval of the Board or the Committee, when annual equity awards are granted to other senior executives of the Company generally (such awards granted to the Executive, the “</w:t>
      </w:r>
      <w:r>
        <w:rPr>
          <w:rFonts w:ascii="Times New Roman;serif" w:hAnsi="Times New Roman;serif"/>
          <w:b w:val="false"/>
          <w:color w:val="000000"/>
          <w:sz w:val="22"/>
          <w:u w:val="single"/>
        </w:rPr>
        <w:t>Annual Awards</w:t>
      </w:r>
      <w:r>
        <w:rPr>
          <w:color w:val="000000"/>
        </w:rPr>
        <w:t>”</w:t>
      </w:r>
      <w:r>
        <w:rPr>
          <w:rFonts w:ascii="Times New Roman;serif" w:hAnsi="Times New Roman;serif"/>
          <w:b w:val="false"/>
          <w:color w:val="000000"/>
          <w:sz w:val="22"/>
        </w:rPr>
        <w:t xml:space="preserve">). The Annual Awards shall be in the amounts and forms as determined by the Board or the Committee.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2"/>
          <w:u w:val="single"/>
        </w:rPr>
        <w:t>Certain Termination Terms and Conditions</w:t>
      </w:r>
      <w:r>
        <w:rPr>
          <w:rFonts w:ascii="Times New Roman;serif" w:hAnsi="Times New Roman;serif"/>
          <w:b w:val="false"/>
          <w:color w:val="000000"/>
          <w:sz w:val="22"/>
        </w:rPr>
        <w:t xml:space="preserve">. The Initial Award and the Annual Awards shall be subject to the terms of the Omnibus Plan and the applicable award agreements approved by the Board or the Committee. Notwithstanding the foregoing, to the extent more favorable to the Executive, the following vesting acceleration terms in this </w:t>
      </w:r>
      <w:r>
        <w:rPr>
          <w:rFonts w:ascii="Times New Roman;serif" w:hAnsi="Times New Roman;serif"/>
          <w:b w:val="false"/>
          <w:color w:val="000000"/>
          <w:sz w:val="22"/>
          <w:u w:val="single"/>
        </w:rPr>
        <w:t>Section 4(d)(iii)</w:t>
      </w:r>
      <w:r>
        <w:rPr>
          <w:color w:val="000000"/>
        </w:rPr>
        <w:t xml:space="preserve"> </w:t>
      </w:r>
      <w:r>
        <w:rPr>
          <w:rFonts w:ascii="Times New Roman;serif" w:hAnsi="Times New Roman;serif"/>
          <w:b w:val="false"/>
          <w:color w:val="000000"/>
          <w:sz w:val="22"/>
        </w:rPr>
        <w:t xml:space="preserve">shall govern and apply to previously granted restricted stock units, the Initial Award and the Annual Awards, in each case (x) without duplication of any vesting credit provided under the Omnibus Plan and applicable award agreement (as determined by the Board or the Committee in its reasonable discretion) and (y) subject to the Executive (or, if applicable, the Executive’s beneficiary(ies) or estate) delivering to the Company (and not revoking) a “Release” within the “Release Delivery Period” (each, as defined below). </w:t>
      </w:r>
    </w:p>
    <w:p>
      <w:pPr>
        <w:pStyle w:val="TextBody"/>
        <w:bidi w:val="0"/>
        <w:spacing w:lineRule="auto" w:line="240" w:before="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2"/>
          <w:u w:val="single"/>
        </w:rPr>
        <w:t>Time-Based Awards</w:t>
      </w:r>
      <w:r>
        <w:rPr>
          <w:rFonts w:ascii="Times New Roman;serif" w:hAnsi="Times New Roman;serif"/>
          <w:b w:val="false"/>
          <w:color w:val="000000"/>
          <w:sz w:val="22"/>
        </w:rPr>
        <w:t>. Any outstanding Initial Award or Annual Award (or portion thereof) that is subject solely to service-vesting conditions (excluding, for the avoidance of doubt, a performance-based award (or portion thereof) that has performance-vested based on completed performance periods and remains subject to service-vesting conditions) shall be treated as follows:</w:t>
      </w:r>
    </w:p>
    <w:p>
      <w:pPr>
        <w:pStyle w:val="TextBody"/>
        <w:bidi w:val="0"/>
        <w:spacing w:lineRule="auto" w:line="288" w:before="0" w:after="240"/>
        <w:ind w:left="0" w:right="0" w:firstLine="3600"/>
        <w:jc w:val="both"/>
        <w:rPr/>
      </w:pPr>
      <w:r>
        <w:rPr>
          <w:rFonts w:ascii="Times New Roman;serif" w:hAnsi="Times New Roman;serif"/>
          <w:b w:val="false"/>
          <w:color w:val="000000"/>
          <w:sz w:val="22"/>
        </w:rPr>
        <w:t>(I)</w:t>
      </w:r>
      <w:r>
        <w:rPr>
          <w:rFonts w:ascii="Times New Roman;serif" w:hAnsi="Times New Roman;serif"/>
          <w:b w:val="false"/>
          <w:color w:val="000000"/>
          <w:sz w:val="22"/>
        </w:rPr>
        <w:t>in case of a termination of the Executive’s employment (w) due to the Executive’s death, (x) by the Company for Disability (as defined below), (y) by the Company without “Cause” (as defined below), or (z) by the Executive for Good Reason (as defined below) (each, a “</w:t>
      </w:r>
      <w:r>
        <w:rPr>
          <w:rFonts w:ascii="Times New Roman;serif" w:hAnsi="Times New Roman;serif"/>
          <w:b w:val="false"/>
          <w:color w:val="000000"/>
          <w:sz w:val="22"/>
          <w:u w:val="single"/>
        </w:rPr>
        <w:t>Vesting Termination</w:t>
      </w:r>
      <w:r>
        <w:rPr>
          <w:color w:val="000000"/>
        </w:rPr>
        <w:t>”</w:t>
      </w:r>
      <w:r>
        <w:rPr>
          <w:rFonts w:ascii="Times New Roman;serif" w:hAnsi="Times New Roman;serif"/>
          <w:b w:val="false"/>
          <w:color w:val="000000"/>
          <w:sz w:val="22"/>
        </w:rPr>
        <w:t xml:space="preserve">), in each case if the date of such termination occurs outside of the Change of Control Protection Period (as defined below), the portion of the award that would have become vested had the Executive’s employment continued for a period of twelve (12) months after the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60705"/>
                <wp:effectExtent l="0" t="0" r="0" b="0"/>
                <wp:wrapNone/>
                <wp:docPr id="8" name="Frame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such termination shall vest upon (and effective as of) the date of such termination (and the remainder of the award shall be forfeited); and</w:t>
      </w:r>
    </w:p>
    <w:p>
      <w:pPr>
        <w:pStyle w:val="TextBody"/>
        <w:bidi w:val="0"/>
        <w:spacing w:lineRule="auto" w:line="288" w:before="0" w:after="240"/>
        <w:ind w:left="0" w:right="0" w:firstLine="360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in case of a Vesting Termination that occurs during the Change of Control Protection Period, the unvested portion of the award shall become fully vested upon (and effective as of) the date of such termination;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such termination date occurs during the Change of Control Protection Period and prior to the Change of Control, the accelerated vesting of the portion of the award that did not vest in accordance with </w:t>
      </w:r>
      <w:r>
        <w:rPr>
          <w:rFonts w:ascii="Times New Roman;serif" w:hAnsi="Times New Roman;serif"/>
          <w:b w:val="false"/>
          <w:color w:val="000000"/>
          <w:sz w:val="22"/>
          <w:u w:val="single"/>
        </w:rPr>
        <w:t>Section 4(d)(iii)(A)(I)</w:t>
      </w:r>
      <w:r>
        <w:rPr>
          <w:color w:val="000000"/>
        </w:rPr>
        <w:t xml:space="preserve"> </w:t>
      </w:r>
      <w:r>
        <w:rPr>
          <w:rFonts w:ascii="Times New Roman;serif" w:hAnsi="Times New Roman;serif"/>
          <w:b w:val="false"/>
          <w:color w:val="000000"/>
          <w:sz w:val="22"/>
        </w:rPr>
        <w:t>shall be subject to, and effective as of, the effective date of the Change of Control; and</w:t>
      </w:r>
    </w:p>
    <w:p>
      <w:pPr>
        <w:pStyle w:val="TextBody"/>
        <w:bidi w:val="0"/>
        <w:spacing w:lineRule="auto" w:line="288" w:before="0" w:after="240"/>
        <w:ind w:left="0" w:right="0" w:firstLine="3600"/>
        <w:jc w:val="both"/>
        <w:rPr/>
      </w:pPr>
      <w:r>
        <w:rPr>
          <w:rFonts w:ascii="Times New Roman;serif" w:hAnsi="Times New Roman;serif"/>
          <w:b w:val="false"/>
          <w:color w:val="000000"/>
          <w:sz w:val="22"/>
        </w:rPr>
        <w:t>(III)</w:t>
      </w:r>
      <w:r>
        <w:rPr>
          <w:rFonts w:ascii="Times New Roman;serif" w:hAnsi="Times New Roman;serif"/>
          <w:b w:val="false"/>
          <w:color w:val="000000"/>
          <w:sz w:val="22"/>
        </w:rPr>
        <w:t xml:space="preserve">in the event of a Change of Control in which no provision is made for (1) assumption of the award or (2) substitution for such award of a new award covering stock of a successor corporation or its “parent corporation” (as defined in Section 424(e) of the Code) or “subsidiary corporation” (as defined in Section 424(f) of the Code) with appropriate adjustments as to the number and kinds of shares, the unvested portion of the award shall become fully vested upon (and effective as of) the date of such Change of Control;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accelerated vesting shall not be subject to the Release requirement set forth above.</w:t>
      </w:r>
    </w:p>
    <w:p>
      <w:pPr>
        <w:pStyle w:val="TextBody"/>
        <w:bidi w:val="0"/>
        <w:spacing w:lineRule="auto" w:line="240" w:before="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2"/>
          <w:u w:val="single"/>
        </w:rPr>
        <w:t>Performance-Based Awards</w:t>
      </w:r>
      <w:r>
        <w:rPr>
          <w:rFonts w:ascii="Times New Roman;serif" w:hAnsi="Times New Roman;serif"/>
          <w:b w:val="false"/>
          <w:color w:val="000000"/>
          <w:sz w:val="22"/>
        </w:rPr>
        <w:t xml:space="preserve">. </w:t>
      </w:r>
    </w:p>
    <w:p>
      <w:pPr>
        <w:pStyle w:val="TextBody"/>
        <w:bidi w:val="0"/>
        <w:spacing w:lineRule="auto" w:line="288" w:before="0" w:after="240"/>
        <w:ind w:left="0" w:right="0" w:firstLine="360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Earned Awards</w:t>
      </w:r>
      <w:r>
        <w:rPr>
          <w:rFonts w:ascii="Times New Roman;serif" w:hAnsi="Times New Roman;serif"/>
          <w:b w:val="false"/>
          <w:color w:val="000000"/>
          <w:sz w:val="22"/>
        </w:rPr>
        <w:t xml:space="preserve">. In case of a Vesting Termination, any outstanding performance-based Annual Award (or portion thereof) that, as of the date of such termination, has performance-vested based on completed performance periods (or as a result of a Change of Control) and remains subject to service-vesting conditions shall become fully service-vested upon (and effective as of) the date of such termination (and the remainder of the award shall be forfeited); </w:t>
      </w:r>
    </w:p>
    <w:p>
      <w:pPr>
        <w:pStyle w:val="TextBody"/>
        <w:bidi w:val="0"/>
        <w:spacing w:lineRule="auto" w:line="288" w:before="0" w:after="240"/>
        <w:ind w:left="0" w:right="0" w:firstLine="360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Unearned Awards</w:t>
      </w:r>
      <w:r>
        <w:rPr>
          <w:rFonts w:ascii="Times New Roman;serif" w:hAnsi="Times New Roman;serif"/>
          <w:b w:val="false"/>
          <w:color w:val="000000"/>
          <w:sz w:val="22"/>
        </w:rPr>
        <w:t xml:space="preserve">. In case of a Vesting Termination that occurs during the Change of Control Protection Period and prior to a Change of Control, any outstanding performance-based Annual Award (or portion thereof) that, as of the date of such termination, has </w:t>
      </w:r>
      <w:r>
        <w:rPr>
          <w:rFonts w:ascii="Times New Roman;serif" w:hAnsi="Times New Roman;serif"/>
          <w:b w:val="false"/>
          <w:color w:val="000000"/>
          <w:sz w:val="22"/>
          <w:u w:val="single"/>
        </w:rPr>
        <w:t>not</w:t>
      </w:r>
      <w:r>
        <w:rPr>
          <w:color w:val="000000"/>
        </w:rPr>
        <w:t xml:space="preserve"> </w:t>
      </w:r>
      <w:r>
        <w:rPr>
          <w:rFonts w:ascii="Times New Roman;serif" w:hAnsi="Times New Roman;serif"/>
          <w:b w:val="false"/>
          <w:color w:val="000000"/>
          <w:sz w:val="22"/>
        </w:rPr>
        <w:t xml:space="preserve">performance-vested based on completed performance periods and remains subject to continued service-vesting conditions shall become performance-vested at “target” level performance and fully service-vested upon (and effective as of) the date of such Change of Control (and the portion of the award corresponding to above-target achievement shall be forfeited); </w:t>
      </w:r>
    </w:p>
    <w:p>
      <w:pPr>
        <w:pStyle w:val="TextBody"/>
        <w:bidi w:val="0"/>
        <w:spacing w:lineRule="auto" w:line="288" w:before="0" w:after="240"/>
        <w:ind w:left="0" w:right="0" w:firstLine="360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xml:space="preserve">. In the event of a Change of Control, any outstanding performance-based Annual Award (or portion thereof) that, as of the date of such Change of Control, has </w:t>
      </w:r>
      <w:r>
        <w:rPr>
          <w:rFonts w:ascii="Times New Roman;serif" w:hAnsi="Times New Roman;serif"/>
          <w:b w:val="false"/>
          <w:color w:val="000000"/>
          <w:sz w:val="22"/>
          <w:u w:val="single"/>
        </w:rPr>
        <w:t>not</w:t>
      </w:r>
      <w:r>
        <w:rPr>
          <w:color w:val="000000"/>
        </w:rPr>
        <w:t xml:space="preserve"> </w:t>
      </w:r>
      <w:r>
        <w:rPr>
          <w:rFonts w:ascii="Times New Roman;serif" w:hAnsi="Times New Roman;serif"/>
          <w:b w:val="false"/>
          <w:color w:val="000000"/>
          <w:sz w:val="22"/>
        </w:rPr>
        <w:t>performance-vested based on completed performance periods and remains subject to continued service-vesting conditions shall become performance-vested upon (and effective as of) the date of Change of Control assuming “target” level performance and shall remain subject to its continued service-vesting conditions (and the portion of the award corresponding to above-target achievement shall be forfeited); and</w:t>
      </w:r>
    </w:p>
    <w:p>
      <w:pPr>
        <w:pStyle w:val="TextBody"/>
        <w:bidi w:val="0"/>
        <w:spacing w:lineRule="auto" w:line="288" w:before="0" w:after="240"/>
        <w:ind w:left="0" w:right="0" w:firstLine="360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Assumption</w:t>
      </w:r>
      <w:r>
        <w:rPr>
          <w:rFonts w:ascii="Times New Roman;serif" w:hAnsi="Times New Roman;serif"/>
          <w:b w:val="false"/>
          <w:color w:val="000000"/>
          <w:sz w:val="22"/>
        </w:rPr>
        <w:t xml:space="preserve">. In the event of a Change of Control, for any outstanding performance-based Annual Award (or portion thereof) that, as of immediately following such Change of Control, has become performance-vested based on completed performance periods (or as a result of such Change of Control) and remains subject to continued service-vesting conditions, if no provision is made for (1) assumption of such award or (2) substitution for such award of a new award covering stock of a successor corporation or its “parent corporation” (as defined in Section 424(e) of the Code) or “subsidiary corporation” (as defined in Section 424(f) of the Code) with appropriate adjustments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60705"/>
                <wp:effectExtent l="0" t="0" r="0" b="0"/>
                <wp:wrapNone/>
                <wp:docPr id="9" name="Frame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as to the number and kinds of shares, the award shall become fully service-vested upon (and effective as of) the date of such Change of Control;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accelerated vesting shall not be subject to the Release requirement set forth above.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2"/>
          <w:u w:val="single"/>
        </w:rPr>
        <w:t>Expenses</w:t>
      </w:r>
      <w:r>
        <w:rPr>
          <w:rFonts w:ascii="Times New Roman;serif" w:hAnsi="Times New Roman;serif"/>
          <w:b w:val="false"/>
          <w:color w:val="000000"/>
          <w:sz w:val="22"/>
        </w:rPr>
        <w:t xml:space="preserve">. The Company shall reimburse the Executive for all reasonable expenses of types authorized by the Company and incurred by the Executive in the performance of his duties hereunder. The Executive shall comply with such budget limitations and approval and reporting requirements with respect to expenses as the Company may establish from time to time. To the extent any reimbursements required pursuant to this </w:t>
      </w:r>
      <w:r>
        <w:rPr>
          <w:rFonts w:ascii="Times New Roman;serif" w:hAnsi="Times New Roman;serif"/>
          <w:b w:val="false"/>
          <w:color w:val="000000"/>
          <w:sz w:val="22"/>
          <w:u w:val="single"/>
        </w:rPr>
        <w:t>Section 4(e)</w:t>
      </w:r>
      <w:r>
        <w:rPr>
          <w:color w:val="000000"/>
        </w:rPr>
        <w:t xml:space="preserve"> </w:t>
      </w:r>
      <w:r>
        <w:rPr>
          <w:rFonts w:ascii="Times New Roman;serif" w:hAnsi="Times New Roman;serif"/>
          <w:b w:val="false"/>
          <w:color w:val="000000"/>
          <w:sz w:val="22"/>
        </w:rPr>
        <w:t>are taxable to the Executive, then for purposes of complying with the requirements of Code Section 409A, any such reimbursement shall be paid as soon as reasonably possible but, in any event, any reimbursement hereunder shall be made no later than the last day of the taxable year following the year in which the expense was incurred.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2"/>
          <w:u w:val="single"/>
        </w:rPr>
        <w:t>Other Benefits</w:t>
      </w:r>
      <w:r>
        <w:rPr>
          <w:rFonts w:ascii="Times New Roman;serif" w:hAnsi="Times New Roman;serif"/>
          <w:b w:val="false"/>
          <w:color w:val="000000"/>
          <w:sz w:val="22"/>
        </w:rPr>
        <w:t xml:space="preserve">. The Executive shall be eligible to participate in all employee benefits as are or may be generally provided by the Company to other full-time executives of the Company, to the extent permitted by law, and as such benefits may be modified from time to time by the Company. </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2"/>
          <w:u w:val="single"/>
        </w:rPr>
        <w:t>Termination and Payments upon Termination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2"/>
          <w:u w:val="single"/>
        </w:rPr>
        <w:t>Death</w:t>
      </w:r>
      <w:r>
        <w:rPr>
          <w:rFonts w:ascii="Times New Roman;serif" w:hAnsi="Times New Roman;serif"/>
          <w:b w:val="false"/>
          <w:color w:val="000000"/>
          <w:sz w:val="22"/>
        </w:rPr>
        <w:t xml:space="preserve">. In the event of the Executive’s death, the Executive’s employment hereunder shall immediately and automatically terminate. In such event, the Company Group shall have no further obligation to the Executive beyond the date employment is terminated, other than (x) if applicable, any equity award acceleration as set forth in </w:t>
      </w:r>
      <w:r>
        <w:rPr>
          <w:rFonts w:ascii="Times New Roman;serif" w:hAnsi="Times New Roman;serif"/>
          <w:b w:val="false"/>
          <w:color w:val="000000"/>
          <w:sz w:val="22"/>
          <w:u w:val="single"/>
        </w:rPr>
        <w:t>Section 4(d)(iii)</w:t>
      </w:r>
      <w:r>
        <w:rPr>
          <w:color w:val="000000"/>
        </w:rPr>
        <w:t xml:space="preserve"> </w:t>
      </w:r>
      <w:r>
        <w:rPr>
          <w:rFonts w:ascii="Times New Roman;serif" w:hAnsi="Times New Roman;serif"/>
          <w:b w:val="false"/>
          <w:color w:val="000000"/>
          <w:sz w:val="22"/>
        </w:rPr>
        <w:t xml:space="preserve">(subject to the terms and conditions set forth therein), and (y) the Company’s obligation to pay to the Executive’s designated beneficiary or, if no beneficiary has been designated by the Executive in writing, to his estate (with the amounts due under </w:t>
      </w:r>
      <w:r>
        <w:rPr>
          <w:rFonts w:ascii="Times New Roman;serif" w:hAnsi="Times New Roman;serif"/>
          <w:b w:val="false"/>
          <w:color w:val="000000"/>
          <w:sz w:val="22"/>
          <w:u w:val="single"/>
        </w:rPr>
        <w:t>Sections 5(a)(i)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 xml:space="preserve">hereof to be paid within sixty (60) days following termination of employment, or such earlier date as may be required by applicable law), (i) any Base Salary earned but not paid through the date of termination; (ii) any Annual Bonus earned but unpaid with respect to any fiscal year preceding the fiscal year in which the date of termination occurs, payable on the date bonuses are paid to other senior executives of the Company; (iii) reimbursement for any unreimbursed business expenses incurred through the date of termination (provided that such expenses and required substantiation and documentation are submitted within thirty (30) days following termination and that such expenses are reimbursable under the Company’s policy); (iv) any accrued but unused vacation time in accordance with Company policy; (v) all other payments, benefits or fringe benefits as may be provided under the terms of any applicable compensation arrangement or benefit, equity or fringe benefit plan or program or grant or this Agreement; and (vi) any other payments or benefits required by applicable law to be paid or provided to the Executive or his dependents (including under COBRA and any other similar state laws) (collectively, items (i) through (vi) of this </w:t>
      </w:r>
      <w:r>
        <w:rPr>
          <w:rFonts w:ascii="Times New Roman;serif" w:hAnsi="Times New Roman;serif"/>
          <w:b w:val="false"/>
          <w:color w:val="000000"/>
          <w:sz w:val="22"/>
          <w:u w:val="single"/>
        </w:rPr>
        <w:t>Section 5(a)(y)</w:t>
      </w:r>
      <w:r>
        <w:rPr>
          <w:color w:val="000000"/>
        </w:rPr>
        <w:t xml:space="preserve"> </w:t>
      </w:r>
      <w:r>
        <w:rPr>
          <w:rFonts w:ascii="Times New Roman;serif" w:hAnsi="Times New Roman;serif"/>
          <w:b w:val="false"/>
          <w:color w:val="000000"/>
          <w:sz w:val="22"/>
        </w:rPr>
        <w:t>shall be hereafter referred to as the “</w:t>
      </w:r>
      <w:r>
        <w:rPr>
          <w:rFonts w:ascii="Times New Roman;serif" w:hAnsi="Times New Roman;serif"/>
          <w:b w:val="false"/>
          <w:color w:val="000000"/>
          <w:sz w:val="22"/>
          <w:u w:val="single"/>
        </w:rPr>
        <w:t>Accrued Obligations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2"/>
          <w:u w:val="single"/>
        </w:rPr>
        <w:t>Disability</w:t>
      </w:r>
      <w:r>
        <w:rPr>
          <w:rFonts w:ascii="Times New Roman;serif" w:hAnsi="Times New Roman;serif"/>
          <w:b w:val="false"/>
          <w:color w:val="000000"/>
          <w:sz w:val="22"/>
        </w:rPr>
        <w:t>. A termination of the Executive’s employment hereunder shall occur at the option of the Company, in the event of the Executive’s Disability, upon thirty (30) days written notice from the Company to the Executive. “</w:t>
      </w:r>
      <w:r>
        <w:rPr>
          <w:rFonts w:ascii="Times New Roman;serif" w:hAnsi="Times New Roman;serif"/>
          <w:b w:val="false"/>
          <w:color w:val="000000"/>
          <w:sz w:val="22"/>
          <w:u w:val="single"/>
        </w:rPr>
        <w:t>Disability</w:t>
      </w:r>
      <w:r>
        <w:rPr>
          <w:color w:val="000000"/>
        </w:rPr>
        <w:t xml:space="preserve">” </w:t>
      </w:r>
      <w:r>
        <w:rPr>
          <w:rFonts w:ascii="Times New Roman;serif" w:hAnsi="Times New Roman;serif"/>
          <w:b w:val="false"/>
          <w:color w:val="000000"/>
          <w:sz w:val="22"/>
        </w:rPr>
        <w:t xml:space="preserve">shall mean the Executive’s inability to perform the essential duties, responsibilities and functions of his position with the Company as a result of any mental or physical disability or incapacity even with reasonable accommodations of such disability or incapacity provided by the Company or if providing such accommodations would be unreasonable for 180 days (including weekends and holidays) in any 365-day period, all as determined by the Board in its reasonable good faith judgment. The Executive shall cooperate in all respects with the Company if a question arises as to whether he has become disabled (including, without limitation, submitting to an examination by a medical doctor or other health care specialists selected by the Company and authorizing such medical doctor or such other health care specialist to discuss the Executive’s condition with the Company). If the Executive’s employment is terminated by the Company by reason of Disability, the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60705"/>
                <wp:effectExtent l="0" t="0" r="0" b="0"/>
                <wp:wrapNone/>
                <wp:docPr id="10" name="Frame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Company Group shall have no further obligation to the Executive beyond the date employment is terminated other than for (x) the Accrued Obligations and (y) if applicable, any equity award acceleration as set forth in </w:t>
      </w:r>
      <w:r>
        <w:rPr>
          <w:rFonts w:ascii="Times New Roman;serif" w:hAnsi="Times New Roman;serif"/>
          <w:b w:val="false"/>
          <w:color w:val="000000"/>
          <w:sz w:val="22"/>
          <w:u w:val="single"/>
        </w:rPr>
        <w:t>Section 4(d)(iii)</w:t>
      </w:r>
      <w:r>
        <w:rPr>
          <w:color w:val="000000"/>
        </w:rPr>
        <w:t xml:space="preserve"> </w:t>
      </w:r>
      <w:r>
        <w:rPr>
          <w:rFonts w:ascii="Times New Roman;serif" w:hAnsi="Times New Roman;serif"/>
          <w:b w:val="false"/>
          <w:color w:val="000000"/>
          <w:sz w:val="22"/>
        </w:rPr>
        <w:t xml:space="preserve">(subject to the terms and conditions set forth therein).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2"/>
          <w:u w:val="single"/>
        </w:rPr>
        <w:t>Intentionally Omitted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2"/>
          <w:u w:val="single"/>
        </w:rPr>
        <w:t>Termination by the Executive</w:t>
      </w:r>
      <w:r>
        <w:rPr>
          <w:rFonts w:ascii="Times New Roman;serif" w:hAnsi="Times New Roman;serif"/>
          <w:b w:val="false"/>
          <w:color w:val="000000"/>
          <w:sz w:val="22"/>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2"/>
        </w:rPr>
        <w:t xml:space="preserve">The Executive shall have the right to terminate this Agreement voluntarily at any time, for any reason, including for Good Reason, upon written notice to the Company. In the event of the Executive’s termination without Good Reason, the Company Group shall have no further obligation to the Executive beyond the date employment is terminated other than for the Accrued Obligations.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2"/>
        </w:rPr>
        <w:t>The term “</w:t>
      </w:r>
      <w:r>
        <w:rPr>
          <w:rFonts w:ascii="Times New Roman;serif" w:hAnsi="Times New Roman;serif"/>
          <w:b w:val="false"/>
          <w:color w:val="000000"/>
          <w:sz w:val="22"/>
          <w:u w:val="single"/>
        </w:rPr>
        <w:t>Good Reason</w:t>
      </w:r>
      <w:r>
        <w:rPr>
          <w:color w:val="000000"/>
        </w:rPr>
        <w:t xml:space="preserve">” </w:t>
      </w:r>
      <w:r>
        <w:rPr>
          <w:rFonts w:ascii="Times New Roman;serif" w:hAnsi="Times New Roman;serif"/>
          <w:b w:val="false"/>
          <w:color w:val="000000"/>
          <w:sz w:val="22"/>
        </w:rPr>
        <w:t>shall mean the occurrence of any of the following events, without the express written consent of the Executive, unless such events are fully corrected by the Company (or such other member of the Company Group, as applicable) within thirty (30)</w:t>
      </w:r>
      <w:r>
        <w:rPr>
          <w:color w:val="000000"/>
        </w:rPr>
        <w:t xml:space="preserve"> </w:t>
      </w:r>
      <w:r>
        <w:rPr>
          <w:rFonts w:ascii="Times New Roman;serif" w:hAnsi="Times New Roman;serif"/>
          <w:b w:val="false"/>
          <w:color w:val="000000"/>
          <w:sz w:val="22"/>
        </w:rPr>
        <w:t xml:space="preserve">days following written notification by the Executive to the Company of the occurrence of one of such following events: (A) the Company reducing the amount of the Executive’s Base Salary or Target Bonus without the Executive’s consent;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 across-the-board reduction in the salary level or target bonus opportunities of the senior executives of the Company as a group by the same percentage amount and approved by the Board or the Committee will not constitute a reduction in the Executive’s Base Salary or Target Bonus, as applicable, (B) the Company changing the Executive’s titles, reporting requirements or reducing his responsibilities in a manner materially inconsistent with the positions he holds, (C) the Company changing the Executive’s place of work to a location more than thirty-five (35) miles from the Company’s offices in Los Angeles, California (except for remote work from Executive’s residence or an office relocation that reduces the distance from Executive’s principal residence) or (D)</w:t>
      </w:r>
      <w:r>
        <w:rPr>
          <w:color w:val="2C96D2"/>
        </w:rPr>
        <w:t xml:space="preserve"> </w:t>
      </w:r>
      <w:r>
        <w:rPr>
          <w:rFonts w:ascii="Times New Roman;serif" w:hAnsi="Times New Roman;serif"/>
          <w:b w:val="false"/>
          <w:color w:val="000000"/>
          <w:sz w:val="22"/>
        </w:rPr>
        <w:t xml:space="preserve">the Company materially breaching its obligations under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written notice of the Executive’s resignation for Good Reason must be delivered to the Company within thirty (30) days after the initial occurrence of any such event and the Executive must actually terminate employment within thirty (30) days following the expiration of the Company’s cure period described above in order for the Executive’s resignation with Good Reason to be effective hereunder.</w:t>
      </w:r>
    </w:p>
    <w:p>
      <w:pPr>
        <w:pStyle w:val="TextBody"/>
        <w:bidi w:val="0"/>
        <w:spacing w:lineRule="auto" w:line="240"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2"/>
          <w:u w:val="single"/>
        </w:rPr>
        <w:t>Termination by the Company</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2"/>
        </w:rPr>
        <w:t xml:space="preserve">The Company shall have the right to terminate the employment of the Executive at any time, for any reason, including for Cause, upon written notice to the Executive. In the event of a termination by the Company for Cause, the Company Group shall have no further obligation to the Executive beyond the date employment is terminated other than for payment of the Accrued Obligations.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2"/>
        </w:rPr>
        <w:t>The term “</w:t>
      </w:r>
      <w:r>
        <w:rPr>
          <w:rFonts w:ascii="Times New Roman;serif" w:hAnsi="Times New Roman;serif"/>
          <w:b w:val="false"/>
          <w:color w:val="000000"/>
          <w:sz w:val="22"/>
          <w:u w:val="single"/>
        </w:rPr>
        <w:t>Cause</w:t>
      </w:r>
      <w:r>
        <w:rPr>
          <w:color w:val="000000"/>
        </w:rPr>
        <w:t xml:space="preserve">” </w:t>
      </w:r>
      <w:r>
        <w:rPr>
          <w:rFonts w:ascii="Times New Roman;serif" w:hAnsi="Times New Roman;serif"/>
          <w:b w:val="false"/>
          <w:color w:val="000000"/>
          <w:sz w:val="22"/>
        </w:rPr>
        <w:t xml:space="preserve">shall mean (i) the Executive’s (A) plea of guilty or </w:t>
      </w:r>
      <w:r>
        <w:rPr>
          <w:rFonts w:ascii="Times New Roman;serif" w:hAnsi="Times New Roman;serif"/>
          <w:b w:val="false"/>
          <w:i/>
          <w:color w:val="000000"/>
          <w:sz w:val="22"/>
        </w:rPr>
        <w:t>nolo contendere</w:t>
      </w:r>
      <w:r>
        <w:rPr>
          <w:color w:val="000000"/>
        </w:rPr>
        <w:t xml:space="preserve"> </w:t>
      </w:r>
      <w:r>
        <w:rPr>
          <w:rFonts w:ascii="Times New Roman;serif" w:hAnsi="Times New Roman;serif"/>
          <w:b w:val="false"/>
          <w:color w:val="000000"/>
          <w:sz w:val="22"/>
        </w:rPr>
        <w:t>to, or indictment for, any felony or (B) conviction of a crime involving financial impropriety or moral turpitude that has had or could reasonably be expected to have a material adverse effect (financially, reputationally or otherwise) on Parent or any of its direct or indirect subsidiaries (collectively, the “</w:t>
      </w:r>
      <w:r>
        <w:rPr>
          <w:rFonts w:ascii="Times New Roman;serif" w:hAnsi="Times New Roman;serif"/>
          <w:b w:val="false"/>
          <w:color w:val="000000"/>
          <w:sz w:val="22"/>
          <w:u w:val="single"/>
        </w:rPr>
        <w:t>Company Group</w:t>
      </w:r>
      <w:r>
        <w:rPr>
          <w:color w:val="000000"/>
        </w:rPr>
        <w:t>”</w:t>
      </w:r>
      <w:r>
        <w:rPr>
          <w:rFonts w:ascii="Times New Roman;serif" w:hAnsi="Times New Roman;serif"/>
          <w:b w:val="false"/>
          <w:color w:val="000000"/>
          <w:sz w:val="22"/>
        </w:rPr>
        <w:t xml:space="preserve">), (ii) the Executive’s commitment of an act of fraud, embezzlement, material misappropriation or breach of fiduciary duty against any member of the Company Group, (iii) the Executive’s failure for any reason after ten (10) days written notice thereof to correct or cease any refusal or intentional or willful failure to comply with the lawful, reasonably appropriate requirement of any member of the Company Group, as communicated by the CEO or the Board, (iv) the Executive’s chronic absence from work, other than for medical reasons, or a breach of </w:t>
      </w:r>
      <w:r>
        <w:rPr>
          <w:rFonts w:ascii="Times New Roman;serif" w:hAnsi="Times New Roman;serif"/>
          <w:b w:val="false"/>
          <w:color w:val="000000"/>
          <w:sz w:val="22"/>
          <w:u w:val="single"/>
        </w:rPr>
        <w:t>Section 3(d)</w:t>
      </w:r>
      <w:r>
        <w:rPr>
          <w:rFonts w:ascii="Times New Roman;serif" w:hAnsi="Times New Roman;serif"/>
          <w:b w:val="false"/>
          <w:color w:val="000000"/>
          <w:sz w:val="22"/>
        </w:rPr>
        <w:t xml:space="preserve">, unless approved by the Board in writing, (v) the Executive’s use of illegal drugs that has materially affected the performance of the Executive’s duties, (vi) gross negligence or willful misconduct in the Executive’s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60705"/>
                <wp:effectExtent l="0" t="0" r="0" b="0"/>
                <wp:wrapNone/>
                <wp:docPr id="11" name="Frame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duties hereunder that has caused (or could reasonably be expected to cause) substantial injury (financially, reputationally or otherwise) to any member of the Company Group or (vii) the Executive’s breach of the Restrictive Covenants (as defined below) or any material breach of any proprietary or confidential information or assignment of inventions agreement between the Executive and any member of the Company Group (after taking into account any cure periods in connection therewith); unless, in each case, the event constituting Cause is curable, and has been cured by the Executive within ten (10) days of his receipt of written notice from the Company that an event constituting Cause has occurred and specifying the details of such event. For the avoidance of doubt, the occurrence of any event described in subsections (i) and (ii) above shall be deemed to be incurable by the Executive.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2"/>
          <w:u w:val="single"/>
        </w:rPr>
        <w:t>Termination by Company without Cause or Termination by the Executive for Good Reason</w:t>
      </w:r>
      <w:r>
        <w:rPr>
          <w:rFonts w:ascii="Times New Roman;serif" w:hAnsi="Times New Roman;serif"/>
          <w:b w:val="false"/>
          <w:color w:val="000000"/>
          <w:sz w:val="22"/>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2"/>
        </w:rPr>
        <w:t>If the Executive’s employment is terminated by the Company other than for Cause or Disability, or by the Executive for Good Reason (each, a “</w:t>
      </w:r>
      <w:r>
        <w:rPr>
          <w:rFonts w:ascii="Times New Roman;serif" w:hAnsi="Times New Roman;serif"/>
          <w:b w:val="false"/>
          <w:color w:val="000000"/>
          <w:sz w:val="22"/>
          <w:u w:val="single"/>
        </w:rPr>
        <w:t>Qualifying Termination</w:t>
      </w:r>
      <w:r>
        <w:rPr>
          <w:color w:val="000000"/>
        </w:rPr>
        <w:t>”</w:t>
      </w:r>
      <w:r>
        <w:rPr>
          <w:rFonts w:ascii="Times New Roman;serif" w:hAnsi="Times New Roman;serif"/>
          <w:b w:val="false"/>
          <w:color w:val="000000"/>
          <w:sz w:val="22"/>
        </w:rPr>
        <w:t xml:space="preserve">), in each case, outside of the Change of Control Protection Period, the Company Group shall have no further obligation to the Executive beyond the date employment is terminated, other than the Company’s obligation to pay or provide the Executive with the following: </w:t>
      </w:r>
    </w:p>
    <w:p>
      <w:pPr>
        <w:pStyle w:val="TextBody"/>
        <w:bidi w:val="0"/>
        <w:spacing w:lineRule="auto" w:line="240" w:before="0" w:after="240"/>
        <w:ind w:left="0" w:right="0" w:firstLine="2880"/>
        <w:jc w:val="left"/>
        <w:rPr/>
      </w:pPr>
      <w:r>
        <w:rPr>
          <w:rFonts w:ascii="Times New Roman;serif" w:hAnsi="Times New Roman;serif"/>
          <w:b w:val="false"/>
          <w:color w:val="000000"/>
          <w:sz w:val="24"/>
        </w:rPr>
        <w:t>(A)</w:t>
      </w:r>
      <w:r>
        <w:rPr>
          <w:rFonts w:ascii="Times New Roman;serif" w:hAnsi="Times New Roman;serif"/>
          <w:b w:val="false"/>
          <w:color w:val="000000"/>
          <w:sz w:val="22"/>
        </w:rPr>
        <w:t xml:space="preserve">the Accrued Obligations; </w:t>
      </w:r>
    </w:p>
    <w:p>
      <w:pPr>
        <w:pStyle w:val="TextBody"/>
        <w:bidi w:val="0"/>
        <w:spacing w:lineRule="auto" w:line="240" w:before="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2"/>
        </w:rPr>
        <w:t xml:space="preserve">subject to (x) the Executive delivering to the Company and not revoking a signed general release of claims in favor of the Company in the form attached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hereto (as may be updated by the Company to reflect changes in applicable laws, the “</w:t>
      </w:r>
      <w:r>
        <w:rPr>
          <w:rFonts w:ascii="Times New Roman;serif" w:hAnsi="Times New Roman;serif"/>
          <w:b w:val="false"/>
          <w:color w:val="000000"/>
          <w:sz w:val="22"/>
          <w:u w:val="single"/>
        </w:rPr>
        <w:t>Release</w:t>
      </w:r>
      <w:r>
        <w:rPr>
          <w:color w:val="000000"/>
        </w:rPr>
        <w:t>”</w:t>
      </w:r>
      <w:r>
        <w:rPr>
          <w:rFonts w:ascii="Times New Roman;serif" w:hAnsi="Times New Roman;serif"/>
          <w:b w:val="false"/>
          <w:color w:val="000000"/>
          <w:sz w:val="22"/>
        </w:rPr>
        <w:t xml:space="preserve">) within the Release Delivery Period (as defined below) and (y) the Executive’s not having materially violated his restrictive covenant obligations set forth in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hereof (the “</w:t>
      </w:r>
      <w:r>
        <w:rPr>
          <w:rFonts w:ascii="Times New Roman;serif" w:hAnsi="Times New Roman;serif"/>
          <w:b w:val="false"/>
          <w:color w:val="000000"/>
          <w:sz w:val="22"/>
          <w:u w:val="single"/>
        </w:rPr>
        <w:t>Restrictive Covenants</w:t>
      </w:r>
      <w:r>
        <w:rPr>
          <w:color w:val="000000"/>
        </w:rPr>
        <w:t>”</w:t>
      </w:r>
      <w:r>
        <w:rPr>
          <w:rFonts w:ascii="Times New Roman;serif" w:hAnsi="Times New Roman;serif"/>
          <w:b w:val="false"/>
          <w:color w:val="000000"/>
          <w:sz w:val="22"/>
        </w:rPr>
        <w:t xml:space="preserve">), such violation determined pursuant to </w:t>
      </w:r>
      <w:r>
        <w:rPr>
          <w:rFonts w:ascii="Times New Roman;serif" w:hAnsi="Times New Roman;serif"/>
          <w:b w:val="false"/>
          <w:color w:val="000000"/>
          <w:sz w:val="22"/>
          <w:u w:val="single"/>
        </w:rPr>
        <w:t>Section 5(h)</w:t>
      </w:r>
      <w:r>
        <w:rPr>
          <w:color w:val="000000"/>
        </w:rPr>
        <w:t xml:space="preserve"> </w:t>
      </w:r>
      <w:r>
        <w:rPr>
          <w:rFonts w:ascii="Times New Roman;serif" w:hAnsi="Times New Roman;serif"/>
          <w:b w:val="false"/>
          <w:color w:val="000000"/>
          <w:sz w:val="22"/>
        </w:rPr>
        <w:t xml:space="preserve">hereof: </w:t>
      </w:r>
    </w:p>
    <w:p>
      <w:pPr>
        <w:pStyle w:val="TextBody"/>
        <w:bidi w:val="0"/>
        <w:spacing w:lineRule="auto" w:line="240" w:before="0" w:after="240"/>
        <w:ind w:left="0" w:right="0" w:firstLine="3600"/>
        <w:jc w:val="both"/>
        <w:rPr/>
      </w:pPr>
      <w:r>
        <w:rPr>
          <w:rFonts w:ascii="Times New Roman;serif" w:hAnsi="Times New Roman;serif"/>
          <w:b w:val="false"/>
          <w:color w:val="000000"/>
          <w:sz w:val="24"/>
        </w:rPr>
        <w:t>(1)</w:t>
      </w:r>
      <w:r>
        <w:rPr>
          <w:rFonts w:ascii="Times New Roman;serif" w:hAnsi="Times New Roman;serif"/>
          <w:b w:val="false"/>
          <w:color w:val="000000"/>
          <w:sz w:val="22"/>
        </w:rPr>
        <w:t>an amount equal to 1.0 times the Executive’s Base Salary at the rate in effect at the time of termination (not taking into account any reduction constituting Good Reason), payable in equal installments over the twelve (12) month period following termination, in accordance with the normal payroll practices of the Company (the “</w:t>
      </w:r>
      <w:r>
        <w:rPr>
          <w:rFonts w:ascii="Times New Roman;serif" w:hAnsi="Times New Roman;serif"/>
          <w:b w:val="false"/>
          <w:color w:val="000000"/>
          <w:sz w:val="22"/>
          <w:u w:val="single"/>
        </w:rPr>
        <w:t>Severance Payment Schedule</w:t>
      </w:r>
      <w:r>
        <w:rPr>
          <w:color w:val="000000"/>
        </w:rPr>
        <w:t>”</w:t>
      </w:r>
      <w:r>
        <w:rPr>
          <w:rFonts w:ascii="Times New Roman;serif" w:hAnsi="Times New Roman;serif"/>
          <w:b w:val="false"/>
          <w:color w:val="000000"/>
          <w:sz w:val="22"/>
        </w:rPr>
        <w:t xml:space="preserve">), which shall be paid beginning with the Company’s next regular payroll period on or following the Release Effective Date (as defined below) but shall be retroactive to first business day following the date of such termination, with any payments delayed pending the occurrence of the Release Effective Date to be payable in accordance with </w:t>
      </w:r>
      <w:r>
        <w:rPr>
          <w:rFonts w:ascii="Times New Roman;serif" w:hAnsi="Times New Roman;serif"/>
          <w:b w:val="false"/>
          <w:color w:val="000000"/>
          <w:sz w:val="22"/>
          <w:u w:val="single"/>
        </w:rPr>
        <w:t>Section 5(f)(ii)</w:t>
      </w:r>
      <w:r>
        <w:rPr>
          <w:color w:val="000000"/>
        </w:rPr>
        <w:t xml:space="preserve"> </w:t>
      </w:r>
      <w:r>
        <w:rPr>
          <w:rFonts w:ascii="Times New Roman;serif" w:hAnsi="Times New Roman;serif"/>
          <w:b w:val="false"/>
          <w:color w:val="000000"/>
          <w:sz w:val="22"/>
        </w:rPr>
        <w:t xml:space="preserve">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to the extent a Change of Control that qualifies as a “change in ownership,” a “change in effective control” or a “change in the ownership of a substantial portion of the assets” of Parent within the meaning of Code Section 409A (a “</w:t>
      </w:r>
      <w:r>
        <w:rPr>
          <w:rFonts w:ascii="Times New Roman;serif" w:hAnsi="Times New Roman;serif"/>
          <w:b w:val="false"/>
          <w:color w:val="000000"/>
          <w:sz w:val="22"/>
          <w:u w:val="single"/>
        </w:rPr>
        <w:t>409A Change of Control</w:t>
      </w:r>
      <w:r>
        <w:rPr>
          <w:color w:val="000000"/>
        </w:rPr>
        <w:t>”</w:t>
      </w:r>
      <w:r>
        <w:rPr>
          <w:rFonts w:ascii="Times New Roman;serif" w:hAnsi="Times New Roman;serif"/>
          <w:b w:val="false"/>
          <w:color w:val="000000"/>
          <w:sz w:val="22"/>
        </w:rPr>
        <w:t xml:space="preserve">) occurs following the Executive’s Qualifying Termination and during the portion of time covering the Severance Payment Schedule, any theretofore unpaid portion of the Executive’s severance payments under this </w:t>
      </w:r>
      <w:r>
        <w:rPr>
          <w:rFonts w:ascii="Times New Roman;serif" w:hAnsi="Times New Roman;serif"/>
          <w:b w:val="false"/>
          <w:color w:val="000000"/>
          <w:sz w:val="22"/>
          <w:u w:val="single"/>
        </w:rPr>
        <w:t>Section 5(f)(i)(B)(1)</w:t>
      </w:r>
      <w:r>
        <w:rPr>
          <w:color w:val="000000"/>
        </w:rPr>
        <w:t xml:space="preserve"> </w:t>
      </w:r>
      <w:r>
        <w:rPr>
          <w:rFonts w:ascii="Times New Roman;serif" w:hAnsi="Times New Roman;serif"/>
          <w:b w:val="false"/>
          <w:color w:val="000000"/>
          <w:sz w:val="22"/>
        </w:rPr>
        <w:t xml:space="preserve">shall be paid to the Executive in a single lump sum no later than ten (10) business days following the later of the Release Effective Date and the consummation of such 409A Change of Control; </w:t>
      </w:r>
    </w:p>
    <w:p>
      <w:pPr>
        <w:pStyle w:val="TextBody"/>
        <w:bidi w:val="0"/>
        <w:spacing w:lineRule="auto" w:line="240" w:before="0" w:after="240"/>
        <w:ind w:left="0" w:right="0" w:firstLine="3600"/>
        <w:jc w:val="both"/>
        <w:rPr/>
      </w:pPr>
      <w:r>
        <w:rPr>
          <w:rFonts w:ascii="Times New Roman;serif" w:hAnsi="Times New Roman;serif"/>
          <w:b w:val="false"/>
          <w:color w:val="000000"/>
          <w:sz w:val="24"/>
        </w:rPr>
        <w:t>(2)</w:t>
      </w:r>
      <w:r>
        <w:rPr>
          <w:rFonts w:ascii="Times New Roman;serif" w:hAnsi="Times New Roman;serif"/>
          <w:b w:val="false"/>
          <w:color w:val="000000"/>
          <w:sz w:val="22"/>
        </w:rPr>
        <w:t xml:space="preserve">an amount equal to 1.0 times the Executive’s Target Bonus in respect of the year in which such termination occurs (not taking into account any reduction constituting Good Reason), multiplied by a fraction, (1) the numerator of which shall equal the </w:t>
      </w:r>
      <w:r>
        <w:rPr>
          <w:rFonts w:ascii="Times New Roman;serif" w:hAnsi="Times New Roman;serif"/>
          <w:b w:val="false"/>
          <w:i/>
          <w:color w:val="000000"/>
          <w:sz w:val="22"/>
        </w:rPr>
        <w:t>greater</w:t>
      </w:r>
      <w:r>
        <w:rPr>
          <w:color w:val="000000"/>
        </w:rPr>
        <w:t xml:space="preserve"> </w:t>
      </w:r>
      <w:r>
        <w:rPr>
          <w:rFonts w:ascii="Times New Roman;serif" w:hAnsi="Times New Roman;serif"/>
          <w:b w:val="false"/>
          <w:color w:val="000000"/>
          <w:sz w:val="22"/>
        </w:rPr>
        <w:t xml:space="preserve">of (x) the number of days elapsed between (and inclusive of) January 1 of the applicable year and the date of such termination or (y) 183 days, and (2) the denominator of which shall equal the total number of days in such year, such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Target Bonus to be payable) such Target Bonus to be payable in equal monthly installments over the Severance Payment Schedule at the same time that continued Base Salary is paid to the Executive in accordance with </w:t>
      </w:r>
      <w:r>
        <w:rPr>
          <w:rFonts w:ascii="Times New Roman;serif" w:hAnsi="Times New Roman;serif"/>
          <w:b w:val="false"/>
          <w:color w:val="000000"/>
          <w:sz w:val="22"/>
          <w:u w:val="single"/>
        </w:rPr>
        <w:t>Sections 5(f)(i)(B)(1)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5(f)(ii)</w:t>
      </w:r>
      <w:r>
        <w:rPr>
          <w:color w:val="000000"/>
        </w:rPr>
        <w:t xml:space="preserve"> </w:t>
      </w:r>
      <w:r>
        <w:rPr>
          <w:rFonts w:ascii="Times New Roman;serif" w:hAnsi="Times New Roman;serif"/>
          <w:b w:val="false"/>
          <w:color w:val="000000"/>
          <w:sz w:val="22"/>
        </w:rPr>
        <w:t xml:space="preserve">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to the extent a 409A Change of Control occurs following the Executive’s Qualifying Termination and during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60705"/>
                <wp:effectExtent l="0" t="0" r="0" b="0"/>
                <wp:wrapNone/>
                <wp:docPr id="12" name="Frame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portion of time covering the Severance Payment Schedule, any theretofore unpaid portion of the Executive’s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Target Bonus under this </w:t>
      </w:r>
      <w:r>
        <w:rPr>
          <w:rFonts w:ascii="Times New Roman;serif" w:hAnsi="Times New Roman;serif"/>
          <w:b w:val="false"/>
          <w:color w:val="000000"/>
          <w:sz w:val="22"/>
          <w:u w:val="single"/>
        </w:rPr>
        <w:t>Section 5(f)(i)(B)(2)</w:t>
      </w:r>
      <w:r>
        <w:rPr>
          <w:color w:val="000000"/>
        </w:rPr>
        <w:t xml:space="preserve"> </w:t>
      </w:r>
      <w:r>
        <w:rPr>
          <w:rFonts w:ascii="Times New Roman;serif" w:hAnsi="Times New Roman;serif"/>
          <w:b w:val="false"/>
          <w:color w:val="000000"/>
          <w:sz w:val="22"/>
        </w:rPr>
        <w:t xml:space="preserve">shall be paid to the Executive in a single lump sum no later than ten (10) business days following the later of the Release Effective Date and the consummation of such 409A Change of Control; </w:t>
      </w:r>
    </w:p>
    <w:p>
      <w:pPr>
        <w:pStyle w:val="TextBody"/>
        <w:bidi w:val="0"/>
        <w:spacing w:lineRule="auto" w:line="240" w:before="0" w:after="240"/>
        <w:ind w:left="0" w:right="0" w:firstLine="3600"/>
        <w:jc w:val="left"/>
        <w:rPr/>
      </w:pPr>
      <w:r>
        <w:rPr>
          <w:rFonts w:ascii="Times New Roman;serif" w:hAnsi="Times New Roman;serif"/>
          <w:b w:val="false"/>
          <w:color w:val="000000"/>
          <w:sz w:val="24"/>
        </w:rPr>
        <w:t>(3)</w:t>
      </w:r>
      <w:r>
        <w:rPr>
          <w:rFonts w:ascii="Times New Roman;serif" w:hAnsi="Times New Roman;serif"/>
          <w:b w:val="false"/>
          <w:color w:val="000000"/>
          <w:sz w:val="22"/>
        </w:rPr>
        <w:t>if applicable, any equity award acceleration as set forth in Section 4(d)(iii); and</w:t>
      </w:r>
    </w:p>
    <w:p>
      <w:pPr>
        <w:pStyle w:val="TextBody"/>
        <w:bidi w:val="0"/>
        <w:spacing w:lineRule="auto" w:line="240" w:before="0" w:after="240"/>
        <w:ind w:left="0" w:right="0" w:firstLine="3600"/>
        <w:jc w:val="both"/>
        <w:rPr/>
      </w:pPr>
      <w:r>
        <w:rPr>
          <w:rFonts w:ascii="Times New Roman;serif" w:hAnsi="Times New Roman;serif"/>
          <w:b w:val="false"/>
          <w:color w:val="000000"/>
          <w:sz w:val="24"/>
        </w:rPr>
        <w:t>(4)</w:t>
      </w:r>
      <w:r>
        <w:rPr>
          <w:rFonts w:ascii="Times New Roman;serif" w:hAnsi="Times New Roman;serif"/>
          <w:b w:val="false"/>
          <w:color w:val="000000"/>
          <w:sz w:val="22"/>
        </w:rPr>
        <w:t>subject to (1) the Executive’s timely election of continuation coverage under the Consolidated Omnibus Budget Reconciliation Act of 1985, as amended (“</w:t>
      </w:r>
      <w:r>
        <w:rPr>
          <w:rFonts w:ascii="Times New Roman;serif" w:hAnsi="Times New Roman;serif"/>
          <w:b w:val="false"/>
          <w:color w:val="000000"/>
          <w:sz w:val="22"/>
          <w:u w:val="single"/>
        </w:rPr>
        <w:t>COBRA</w:t>
      </w:r>
      <w:r>
        <w:rPr>
          <w:color w:val="000000"/>
        </w:rPr>
        <w:t>”</w:t>
      </w:r>
      <w:r>
        <w:rPr>
          <w:rFonts w:ascii="Times New Roman;serif" w:hAnsi="Times New Roman;serif"/>
          <w:b w:val="false"/>
          <w:color w:val="000000"/>
          <w:sz w:val="22"/>
        </w:rPr>
        <w:t xml:space="preserve">), and (2) the Executive’s continued co-payment of premiums at the same level and cost to the Executive as if the Executive were an employee of the Company (excluding, for purposes of calculating cost, an employee’s ability to pay premiums with pre-tax dollars), Company contributions to the premium cost of the Executive’s coverage and that of his eligible dependents under the Company’s group health plan in which the Executive participates at the rate it contributed to the Executive’s premium cost of coverage on the date of termination, for a period of twelve (12) months following the date of such termination or, if earlier, until the date the Executive obtains other employment that offers group health benefits or is otherwise no longer eligible for COBRA coverage;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Company may modify the continuation coverage contemplated by this </w:t>
      </w:r>
      <w:r>
        <w:rPr>
          <w:rFonts w:ascii="Times New Roman;serif" w:hAnsi="Times New Roman;serif"/>
          <w:b w:val="false"/>
          <w:color w:val="000000"/>
          <w:sz w:val="22"/>
          <w:u w:val="single"/>
        </w:rPr>
        <w:t>Section 5(f)(i)(B)(4)</w:t>
      </w:r>
      <w:r>
        <w:rPr>
          <w:color w:val="000000"/>
        </w:rPr>
        <w:t xml:space="preserve"> </w:t>
      </w:r>
      <w:r>
        <w:rPr>
          <w:rFonts w:ascii="Times New Roman;serif" w:hAnsi="Times New Roman;serif"/>
          <w:b w:val="false"/>
          <w:color w:val="000000"/>
          <w:sz w:val="22"/>
        </w:rPr>
        <w:t xml:space="preserve">to the extent reasonably necessary to avoid the imposition of any excise taxes on the Company for failure to comply with the nondiscrimination requirements of the Patient Protection and Affordable Care Act of 2010, as amended, and/or the Health Care and Education Reconciliation Act of 2010, as amended (to the extent applicable).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2"/>
        </w:rPr>
        <w:t>The Release shall be executed and delivered (and no longer subject to revocation, if applicable) within sixty (60) days following the Executive’s termination (the “</w:t>
      </w:r>
      <w:r>
        <w:rPr>
          <w:rFonts w:ascii="Times New Roman;serif" w:hAnsi="Times New Roman;serif"/>
          <w:b w:val="false"/>
          <w:color w:val="000000"/>
          <w:sz w:val="22"/>
          <w:u w:val="single"/>
        </w:rPr>
        <w:t>Release Delivery Period</w:t>
      </w:r>
      <w:r>
        <w:rPr>
          <w:color w:val="000000"/>
        </w:rPr>
        <w:t>”</w:t>
      </w:r>
      <w:r>
        <w:rPr>
          <w:rFonts w:ascii="Times New Roman;serif" w:hAnsi="Times New Roman;serif"/>
          <w:b w:val="false"/>
          <w:color w:val="000000"/>
          <w:sz w:val="22"/>
        </w:rPr>
        <w:t>). All payments and benefits delayed pending delivery of the Release (whether they would have otherwise been payable in a single sum or in installments in the absence of such delay) shall be paid or reimbursed to the Executive in a lump sum following the date on which the Release becomes effective and no longer subject to revocation (the “</w:t>
      </w:r>
      <w:r>
        <w:rPr>
          <w:rFonts w:ascii="Times New Roman;serif" w:hAnsi="Times New Roman;serif"/>
          <w:b w:val="false"/>
          <w:color w:val="000000"/>
          <w:sz w:val="22"/>
          <w:u w:val="single"/>
        </w:rPr>
        <w:t>Release Effective Date</w:t>
      </w:r>
      <w:r>
        <w:rPr>
          <w:color w:val="000000"/>
        </w:rPr>
        <w:t>”</w:t>
      </w:r>
      <w:r>
        <w:rPr>
          <w:rFonts w:ascii="Times New Roman;serif" w:hAnsi="Times New Roman;serif"/>
          <w:b w:val="false"/>
          <w:color w:val="000000"/>
          <w:sz w:val="22"/>
        </w:rPr>
        <w:t xml:space="preserve">), and any remaining payments and benefits due under this </w:t>
      </w:r>
      <w:r>
        <w:rPr>
          <w:rFonts w:ascii="Times New Roman;serif" w:hAnsi="Times New Roman;serif"/>
          <w:b w:val="false"/>
          <w:color w:val="000000"/>
          <w:sz w:val="22"/>
          <w:u w:val="single"/>
        </w:rPr>
        <w:t>Section 5(f)</w:t>
      </w:r>
      <w:r>
        <w:rPr>
          <w:color w:val="000000"/>
        </w:rPr>
        <w:t xml:space="preserve"> </w:t>
      </w:r>
      <w:r>
        <w:rPr>
          <w:rFonts w:ascii="Times New Roman;serif" w:hAnsi="Times New Roman;serif"/>
          <w:b w:val="false"/>
          <w:color w:val="000000"/>
          <w:sz w:val="22"/>
        </w:rPr>
        <w:t xml:space="preserve">following the Release Effective Date shall be paid or provided in accordance with the normal payment dates specified for them herein;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Release Delivery Period begins in one taxable year and ends in another taxable year, payments shall not begin until the beginning of the second taxable year.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2"/>
          <w:u w:val="single"/>
        </w:rPr>
        <w:t>Change of Control Qualifying Termination</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5(g)</w:t>
      </w:r>
      <w:r>
        <w:rPr>
          <w:color w:val="000000"/>
        </w:rPr>
        <w:t xml:space="preserve"> </w:t>
      </w:r>
      <w:r>
        <w:rPr>
          <w:rFonts w:ascii="Times New Roman;serif" w:hAnsi="Times New Roman;serif"/>
          <w:b w:val="false"/>
          <w:color w:val="000000"/>
          <w:sz w:val="22"/>
        </w:rPr>
        <w:t>shall apply if the Executive’s Qualifying Termination occurs (i) during the three (3)-month period immediately preceding, or (ii) the twelve (12)-month period immediately following, a Change of Control (as defined in the Omnibus Plan on the Effective Date) (such period of time, the “</w:t>
      </w:r>
      <w:r>
        <w:rPr>
          <w:rFonts w:ascii="Times New Roman;serif" w:hAnsi="Times New Roman;serif"/>
          <w:b w:val="false"/>
          <w:color w:val="000000"/>
          <w:sz w:val="22"/>
          <w:u w:val="single"/>
        </w:rPr>
        <w:t>Change of Control Protection Period</w:t>
      </w:r>
      <w:r>
        <w:rPr>
          <w:color w:val="000000"/>
        </w:rPr>
        <w:t>”</w:t>
      </w:r>
      <w:r>
        <w:rPr>
          <w:rFonts w:ascii="Times New Roman;serif" w:hAnsi="Times New Roman;serif"/>
          <w:b w:val="false"/>
          <w:color w:val="000000"/>
          <w:sz w:val="22"/>
        </w:rPr>
        <w:t xml:space="preserve">). In the event of any such Qualifying Termination during the Change of Control Protection Period, the Executive shall receive the payments and benefits set forth in </w:t>
      </w:r>
      <w:r>
        <w:rPr>
          <w:rFonts w:ascii="Times New Roman;serif" w:hAnsi="Times New Roman;serif"/>
          <w:b w:val="false"/>
          <w:color w:val="000000"/>
          <w:sz w:val="22"/>
          <w:u w:val="single"/>
        </w:rPr>
        <w:t>Section 5(f)</w:t>
      </w:r>
      <w:r>
        <w:rPr>
          <w:color w:val="000000"/>
        </w:rPr>
        <w:t xml:space="preserve"> </w:t>
      </w:r>
      <w:r>
        <w:rPr>
          <w:rFonts w:ascii="Times New Roman;serif" w:hAnsi="Times New Roman;serif"/>
          <w:b w:val="false"/>
          <w:color w:val="000000"/>
          <w:sz w:val="22"/>
        </w:rPr>
        <w:t xml:space="preserve">(subject to the terms and conditions set forth therein), except that (x) the phrase “1.0 times” set forth in </w:t>
      </w:r>
      <w:r>
        <w:rPr>
          <w:rFonts w:ascii="Times New Roman;serif" w:hAnsi="Times New Roman;serif"/>
          <w:b w:val="false"/>
          <w:color w:val="000000"/>
          <w:sz w:val="22"/>
          <w:u w:val="single"/>
        </w:rPr>
        <w:t>Section 5(f)(i)(B)(1)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5(f)(i)(B)(2)</w:t>
      </w:r>
      <w:r>
        <w:rPr>
          <w:color w:val="000000"/>
        </w:rPr>
        <w:t xml:space="preserve"> </w:t>
      </w:r>
      <w:r>
        <w:rPr>
          <w:rFonts w:ascii="Times New Roman;serif" w:hAnsi="Times New Roman;serif"/>
          <w:b w:val="false"/>
          <w:color w:val="000000"/>
          <w:sz w:val="22"/>
        </w:rPr>
        <w:t xml:space="preserve">shall be replaced with “1.5 times”, (y) the “twelve (12) month” period referenced in </w:t>
      </w:r>
      <w:r>
        <w:rPr>
          <w:rFonts w:ascii="Times New Roman;serif" w:hAnsi="Times New Roman;serif"/>
          <w:b w:val="false"/>
          <w:color w:val="000000"/>
          <w:sz w:val="22"/>
          <w:u w:val="single"/>
        </w:rPr>
        <w:t>Section 5(f)(i)(B)(1)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5(f)(i)(B)(4)</w:t>
      </w:r>
      <w:r>
        <w:rPr>
          <w:color w:val="000000"/>
        </w:rPr>
        <w:t xml:space="preserve"> </w:t>
      </w:r>
      <w:r>
        <w:rPr>
          <w:rFonts w:ascii="Times New Roman;serif" w:hAnsi="Times New Roman;serif"/>
          <w:b w:val="false"/>
          <w:color w:val="000000"/>
          <w:sz w:val="22"/>
        </w:rPr>
        <w:t xml:space="preserve">shall be replaced with “eighteen (18) months” and (z) if the Change of Control is a 409A Change of Control, any theretofore unpaid portion of the severance amount set forth in </w:t>
      </w:r>
      <w:r>
        <w:rPr>
          <w:rFonts w:ascii="Times New Roman;serif" w:hAnsi="Times New Roman;serif"/>
          <w:b w:val="false"/>
          <w:color w:val="000000"/>
          <w:sz w:val="22"/>
          <w:u w:val="single"/>
        </w:rPr>
        <w:t>Section 5(f)(i)(B)(1)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5(f)(i)(B)(2)</w:t>
      </w:r>
      <w:r>
        <w:rPr>
          <w:color w:val="000000"/>
        </w:rPr>
        <w:t xml:space="preserve"> </w:t>
      </w:r>
      <w:r>
        <w:rPr>
          <w:rFonts w:ascii="Times New Roman;serif" w:hAnsi="Times New Roman;serif"/>
          <w:b w:val="false"/>
          <w:color w:val="000000"/>
          <w:sz w:val="22"/>
        </w:rPr>
        <w:t xml:space="preserve">(and any increased severance pursuant to the modifications set forth in this Section 5(g)) shall be payable in a single lump sum no later than ten (10) business days following the later of the Release Effective Date and the consummation of such 409A Change of Control. The Executive shall not be entitled to duplication of payments or benefits under </w:t>
      </w:r>
      <w:r>
        <w:rPr>
          <w:rFonts w:ascii="Times New Roman;serif" w:hAnsi="Times New Roman;serif"/>
          <w:b w:val="false"/>
          <w:color w:val="000000"/>
          <w:sz w:val="22"/>
          <w:u w:val="single"/>
        </w:rPr>
        <w:t>Section 5(f)</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Section 5(g)</w:t>
      </w:r>
      <w:r>
        <w:rPr>
          <w:rFonts w:ascii="Times New Roman;serif" w:hAnsi="Times New Roman;serif"/>
          <w:b w:val="false"/>
          <w:color w:val="000000"/>
          <w:sz w:val="22"/>
        </w:rPr>
        <w:t xml:space="preserve">, and any amounts previously paid or provided under </w:t>
      </w:r>
      <w:r>
        <w:rPr>
          <w:rFonts w:ascii="Times New Roman;serif" w:hAnsi="Times New Roman;serif"/>
          <w:b w:val="false"/>
          <w:color w:val="000000"/>
          <w:sz w:val="22"/>
          <w:u w:val="single"/>
        </w:rPr>
        <w:t>Section 5(f)</w:t>
      </w:r>
      <w:r>
        <w:rPr>
          <w:color w:val="000000"/>
        </w:rPr>
        <w:t xml:space="preserve"> </w:t>
      </w:r>
      <w:r>
        <w:rPr>
          <w:rFonts w:ascii="Times New Roman;serif" w:hAnsi="Times New Roman;serif"/>
          <w:b w:val="false"/>
          <w:color w:val="000000"/>
          <w:sz w:val="22"/>
        </w:rPr>
        <w:t xml:space="preserve">shall offset, on a dollar-for-dollar basis, the amounts otherwise payable or provided under this </w:t>
      </w:r>
      <w:r>
        <w:rPr>
          <w:rFonts w:ascii="Times New Roman;serif" w:hAnsi="Times New Roman;serif"/>
          <w:b w:val="false"/>
          <w:color w:val="000000"/>
          <w:sz w:val="22"/>
          <w:u w:val="single"/>
        </w:rPr>
        <w:t>Section 5(g)</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2"/>
          <w:u w:val="single"/>
        </w:rPr>
        <w:t>Compliance with Restrictive Covenants</w:t>
      </w:r>
      <w:r>
        <w:rPr>
          <w:rFonts w:ascii="Times New Roman;serif" w:hAnsi="Times New Roman;serif"/>
          <w:b w:val="false"/>
          <w:color w:val="000000"/>
          <w:sz w:val="22"/>
        </w:rPr>
        <w:t xml:space="preserve">. If the Board determines in good faith that the Executive has materially violated any of the Restrictive Covenants, any rights of the Executive to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60705"/>
                <wp:effectExtent l="0" t="0" r="0" b="0"/>
                <wp:wrapNone/>
                <wp:docPr id="13" name="Frame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receive severance pursuant to this Agreement or otherwise shall immediately cease, and the Company shall be entitled to demand that any severance previously paid to the Executive shall be immediately payable by him to the Company;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the Executive challenges such determination by written notice to the Company, the Company’s recoupment of the portion of severance previously paid shall be subject to a determination by a court of competent jurisdiction, in a final, non-appealable, verdict, that the Executive has materially violated any of the Restrictive Covenants. If, however, a court of competent jurisdiction determines, in a final, non-appealable, verdict, that the Executive has not materially violated any of the Restrictive Covenants, then the full amount of the severance held back pursuant to this </w:t>
      </w:r>
      <w:r>
        <w:rPr>
          <w:rFonts w:ascii="Times New Roman;serif" w:hAnsi="Times New Roman;serif"/>
          <w:b w:val="false"/>
          <w:color w:val="000000"/>
          <w:sz w:val="22"/>
          <w:u w:val="single"/>
        </w:rPr>
        <w:t>Section 5(h)</w:t>
      </w:r>
      <w:r>
        <w:rPr>
          <w:color w:val="000000"/>
        </w:rPr>
        <w:t xml:space="preserve"> </w:t>
      </w:r>
      <w:r>
        <w:rPr>
          <w:rFonts w:ascii="Times New Roman;serif" w:hAnsi="Times New Roman;serif"/>
          <w:b w:val="false"/>
          <w:color w:val="000000"/>
          <w:sz w:val="22"/>
        </w:rPr>
        <w:t>shall be immediately payable by the Company to the Executive and the recoupment of the portion of severance previously paid shall not apply. For the avoidance of doubt, this paragraph will not diminish any remedies that the Company may have, including the right of the Company to claim and recover damages in addition to injunctive relief.</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2"/>
          <w:u w:val="single"/>
        </w:rPr>
        <w:t>Survival of Certain Provisions</w:t>
      </w:r>
      <w:r>
        <w:rPr>
          <w:rFonts w:ascii="Times New Roman;serif" w:hAnsi="Times New Roman;serif"/>
          <w:b w:val="false"/>
          <w:color w:val="000000"/>
          <w:sz w:val="22"/>
        </w:rPr>
        <w:t xml:space="preserve">. Notwithstanding the termination of the Executive’s employment hereunder, provisions of this Agreement (including Section 7 hereof) shall survive any termination of this Agreement as so provided herein.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2"/>
          <w:u w:val="single"/>
        </w:rPr>
        <w:t>Resignation of All Other Positions</w:t>
      </w:r>
      <w:r>
        <w:rPr>
          <w:rFonts w:ascii="Times New Roman;serif" w:hAnsi="Times New Roman;serif"/>
          <w:b w:val="false"/>
          <w:color w:val="000000"/>
          <w:sz w:val="22"/>
        </w:rPr>
        <w:t>. Upon termination of Executive's employment hereunder for any reason, Executive shall be deemed to have immediately resigned from all positions that the Executive holds with the Company Group, including as an officer, manager or member of the board of any member of the Company Group.</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2"/>
          <w:u w:val="single"/>
        </w:rPr>
        <w:t>Section 280G Matters</w:t>
      </w:r>
      <w:r>
        <w:rPr>
          <w:rFonts w:ascii="Times New Roman;serif" w:hAnsi="Times New Roman;serif"/>
          <w:b w:val="false"/>
          <w:color w:val="000000"/>
          <w:sz w:val="22"/>
        </w:rPr>
        <w:t>. In the event that any payments, accelerated vesting or other benefits payable to Executive under this Agreement or otherwise, calculated in a manner consistent with Section 280G of the Code, would constitute “parachute payments” within the meaning of Section 280G of the Code</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Parachute Payments</w:t>
      </w:r>
      <w:r>
        <w:rPr>
          <w:color w:val="000000"/>
        </w:rPr>
        <w:t>”</w:t>
      </w:r>
      <w:r>
        <w:rPr>
          <w:rFonts w:ascii="Times New Roman;serif" w:hAnsi="Times New Roman;serif"/>
          <w:b w:val="false"/>
          <w:color w:val="000000"/>
          <w:sz w:val="22"/>
        </w:rPr>
        <w:t>), the Parachute Payments shall be reduced so that the maximum amount of the Parachute Payments (after reduction) shall be one dollar ($1.00) less than the amount that would cause the Parachute Payments to be subject to the excise tax imposed under Section 4999 of the Code (the “</w:t>
      </w:r>
      <w:r>
        <w:rPr>
          <w:rFonts w:ascii="Times New Roman;serif" w:hAnsi="Times New Roman;serif"/>
          <w:b w:val="false"/>
          <w:color w:val="000000"/>
          <w:sz w:val="22"/>
          <w:u w:val="single"/>
        </w:rPr>
        <w:t>Excise Tax</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Parachute Payments shall only be reduced to the extent the after-tax value of amounts received by Executive after application of the above reduction would exceed the after-tax value of the amounts received without application of such reduction, after taking into account applicable federal, state, and local taxes and the Excise Tax. If a reduction in payments or benefits constituting Parachute Payments is necessary, reduction shall occur in the following order, and in all events such reduction shall occur in accordance with the requirements of Code Section 409A: (i) reduction of cash payments; (ii) cancellation of accelerated vesting of equity or equity-linked awards; and (iii) reduction of employee benefits. Payments or benefits shall be reduced or cancelled (as applicable) in reverse chronological order with the payments to be paid furthest in the future being reduced first and acceleration of vesting shall be cancelled in the reverse order of the date of grant. Where two or more equity or equity-linked awards subject to cancellation under clause (ii) above share the same grant date, such awards shall be cancelled in the order that preserves the greatest economic benefit to the Executive. Notwithstanding anything to the contrary set forth herein, Executive may not elect the order in which the reduction in Executive’s Parachute Payments will occur, and no such reduction or elimination shall apply, to the extent that such election accelerates or defers the timing of a payment or benefit in a manner that causes the payment or benefit to be subject to the additional tax pursuant to Code Section 409A. Any determinations and calculations required under this </w:t>
      </w:r>
      <w:r>
        <w:rPr>
          <w:rFonts w:ascii="Times New Roman;serif" w:hAnsi="Times New Roman;serif"/>
          <w:b w:val="false"/>
          <w:color w:val="000000"/>
          <w:sz w:val="22"/>
          <w:u w:val="single"/>
        </w:rPr>
        <w:t>Section 5(k)</w:t>
      </w:r>
      <w:r>
        <w:rPr>
          <w:color w:val="000000"/>
        </w:rPr>
        <w:t xml:space="preserve"> </w:t>
      </w:r>
      <w:r>
        <w:rPr>
          <w:rFonts w:ascii="Times New Roman;serif" w:hAnsi="Times New Roman;serif"/>
          <w:b w:val="false"/>
          <w:color w:val="000000"/>
          <w:sz w:val="22"/>
        </w:rPr>
        <w:t xml:space="preserve">shall be made by an independent public accounting firm engaged by the Company. The Company shall bear all expenses with respect to the determinations by such accounting firm required to be made hereunder. The accounting firm engaged to make the determinations hereunder shall provide its calculations, together with detailed supporting documentation, to Executive and the Company no later than fifteen (15) calendar days after the date on which Executive’s right to a Parachute Payment is triggered (if requested at that time by Executive or the Company) or such other reasonable time as requested by Executive or the Company. Any good faith determinations of the accounting firm made hereunder shall be final, binding and conclusive upon Executive and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60705"/>
                <wp:effectExtent l="0" t="0" r="0" b="0"/>
                <wp:wrapNone/>
                <wp:docPr id="14" name="Frame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2"/>
          <w:u w:val="single"/>
        </w:rPr>
        <w:t>Successors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2"/>
          <w:u w:val="single"/>
        </w:rPr>
        <w:t>Company’s Successors</w:t>
      </w:r>
      <w:r>
        <w:rPr>
          <w:rFonts w:ascii="Times New Roman;serif" w:hAnsi="Times New Roman;serif"/>
          <w:b w:val="false"/>
          <w:color w:val="000000"/>
          <w:sz w:val="22"/>
        </w:rPr>
        <w:t>. The Executive may not assign or transfer this Agreement or any of his rights, duties or obligations hereunder. Parent or the Company, as applicable, may assign this Agreement to any Affiliate thereof, or to any person or entity acquiring all or substantially all of the assets or business (by merger or otherwise) of Parent or the Company or any such Affiliate, so long as such person, entity or Affiliate assumes the obligations hereunder of Parent or the Company,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2"/>
          <w:u w:val="single"/>
        </w:rPr>
        <w:t>Executive’s Successors</w:t>
      </w:r>
      <w:r>
        <w:rPr>
          <w:rFonts w:ascii="Times New Roman;serif" w:hAnsi="Times New Roman;serif"/>
          <w:b w:val="false"/>
          <w:color w:val="000000"/>
          <w:sz w:val="22"/>
        </w:rPr>
        <w:t>. This Agreement and all rights of the Executive hereunder shall inure to the benefit of and be enforceable by the Executive’s personal or legal representatives, executors, administrators, successors, heirs, distributees, devisees and legatees. Upon the Executive’s death, all amounts to which he is entitled hereunder, unless otherwise provided herein, shall be paid in accordance with the terms of this Agreement to the Executive’s devisee, legatee, or other designee or, if there be no such designee, to the Executive’s estate.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2"/>
          <w:u w:val="single"/>
        </w:rPr>
        <w:t>Restrictive Covenants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2"/>
          <w:u w:val="single"/>
        </w:rPr>
        <w:t>Confidential Information</w:t>
      </w:r>
      <w:r>
        <w:rPr>
          <w:rFonts w:ascii="Times New Roman;serif" w:hAnsi="Times New Roman;serif"/>
          <w:b w:val="false"/>
          <w:color w:val="000000"/>
          <w:sz w:val="22"/>
        </w:rPr>
        <w:t>. During the course of the Executive’s employment with any member of the Company Group (including any predecessors), the Executive will have access to Confidential Information. For purposes of this Agreement, “</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means all data, information, ideas, concepts, discoveries, trade secrets, inventions (whether or not patentable or reduced to practice), innovations, improvements, know-how, developments, techniques, methods, processes, treatments, drawings, sketches, specifications, designs, plans, patterns, models, and strategies, and all other confidential or proprietary information or trade secrets in any form or medium (whether merely remembered or embodied in a tangible or intangible form or medium) whether now or hereafter existing, relating to or arising from the past, current or potential business, activities and/or operations of the Company Group, including, without limitation, any such information relating to or concerning finances, sales, marketing, advertising, transactions, promotions, pricing, personnel, customers, suppliers, vendors, partners and/or competitors. The Executive agrees that the Executive shall not, directly or indirectly, use, make available, sell, disclose or otherwise communicate to any person, other than in the course of the Executive’s assigned duties and for the benefit of the Company Group, either during the period of the Executive’s employment or at any time thereafter, any Confidential Information or other confidential or proprietary information received from third parties subject to a duty on the Company Group’s part to maintain the confidentiality of such information, and to use such information only for specified limited purposes, in each case, which shall have been obtained by the Executive during the Executive’s employment with any member of the Company Group (or any predecessor). The foregoing shall not apply to information that (i) was known to the public prior to its disclosure to the Executive; (ii) becomes generally known to the public subsequent to disclosure to the Executive through no wrongful act of the Executive or any representative of the Executive; or (iii) the Executive is required to disclose by applicable law, regulation or legal process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unless precluded by law, the Executive provides the Company Group with prior notice of the contemplated disclosure and cooperates with the Company Group at its expense in seeking a protective order or other appropriate protection of such information). Unless this Agreement is otherwise required to be disclosed under applicable law, rule or regulation, the terms and conditions of this Agreement shall remain strictly confidential, and the Executive hereby agrees not to disclose the terms and conditions hereof to any person or entity, other than immediate family members, legal advisors or personal tax or financial advisors, prospective future employers solely for the purpose of disclosing the Executive’s taxable income and limitations on the Executive’s conduct imposed by the provisions of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who, in each case, agree to keep such information confidential.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2"/>
          <w:u w:val="single"/>
        </w:rPr>
        <w:t>Non-Competition</w:t>
      </w:r>
      <w:r>
        <w:rPr>
          <w:rFonts w:ascii="Times New Roman;serif" w:hAnsi="Times New Roman;serif"/>
          <w:b w:val="false"/>
          <w:color w:val="000000"/>
          <w:sz w:val="22"/>
        </w:rPr>
        <w:t xml:space="preserve">. The Executive covenants that during the Executive’s employment or other service relationship with any member of the Company Group, the Executive shall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60705"/>
                <wp:effectExtent l="0" t="0" r="0" b="0"/>
                <wp:wrapNone/>
                <wp:docPr id="15" name="Frame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not, directly or indirectly, in any capacity, engage in or have any direct or indirect ownership interest in, other than ownership of one percent (1%) or less of the equity of a publicly-traded company, or permit his name to be used in connection with, any business anywhere in the world which is engaged, either directly or indirectly, in (A) the Business (as defined below) or any other business being conducted by any member of the Company Group or (B) any other business, product or service of the Company Group that is in the process of being formed or is the subject of a then current strategic plan or reflected in the then current annual budget or under active discussion by the Board and with respect to which the Executive is actively engaged or has learned or received confidential information, in the case of (A) or (B), as of the date of termination of the Executive’s employment with the Company (the “</w:t>
      </w:r>
      <w:r>
        <w:rPr>
          <w:rFonts w:ascii="Times New Roman;serif" w:hAnsi="Times New Roman;serif"/>
          <w:b w:val="false"/>
          <w:color w:val="000000"/>
          <w:sz w:val="22"/>
          <w:u w:val="single"/>
        </w:rPr>
        <w:t>Restricted Business</w:t>
      </w:r>
      <w:r>
        <w:rPr>
          <w:color w:val="000000"/>
        </w:rPr>
        <w:t>”</w:t>
      </w:r>
      <w:r>
        <w:rPr>
          <w:rFonts w:ascii="Times New Roman;serif" w:hAnsi="Times New Roman;serif"/>
          <w:b w:val="false"/>
          <w:color w:val="000000"/>
          <w:sz w:val="22"/>
        </w:rPr>
        <w:t xml:space="preserve">). The Executive acknowledges and agrees that the Restricted Business is conducted worldwide and that more narrow geographical limitations of any nature on this non-competition covenant (and the covenant set forth in </w:t>
      </w:r>
      <w:r>
        <w:rPr>
          <w:rFonts w:ascii="Times New Roman;serif" w:hAnsi="Times New Roman;serif"/>
          <w:b w:val="false"/>
          <w:color w:val="000000"/>
          <w:sz w:val="22"/>
          <w:u w:val="single"/>
        </w:rPr>
        <w:t>Section 7(c)</w:t>
      </w:r>
      <w:r>
        <w:rPr>
          <w:rFonts w:ascii="Times New Roman;serif" w:hAnsi="Times New Roman;serif"/>
          <w:b w:val="false"/>
          <w:color w:val="000000"/>
          <w:sz w:val="22"/>
        </w:rPr>
        <w:t xml:space="preserve">) are therefore not appropriate. For purposes of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“Business” means the development and/or implementation of advertising-related technologies, strategies, solutions and/or services to facilitate advertising transactions involving potential purchasers of insurance, travel or financial, education or home services, media companies and/or service providers, including, but not limited to, the operation of “owned and operated” lead sourcing sites, publisher-side demand management and/or optimization platforms, demand-side platforms, and/or the MediaAlpha exchange, on both an open and closed market basis in connection with such advertising-related technologies, strategies, solutions and/or services.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2"/>
          <w:u w:val="single"/>
        </w:rPr>
        <w:t>Non-Hire; Non-Solicitation</w:t>
      </w:r>
      <w:r>
        <w:rPr>
          <w:rFonts w:ascii="Times New Roman;serif" w:hAnsi="Times New Roman;serif"/>
          <w:b w:val="false"/>
          <w:color w:val="000000"/>
          <w:sz w:val="22"/>
        </w:rPr>
        <w:t xml:space="preserve">. The Executive covenants that, until the second anniversary of the date of termination of the Executive’s employment or other service relationship with any member of the Company Group, the Executive shall not, directly or indirectly, (A) hire any Person who then is or, within the previous six (6) months was, an employee, contractor, service provider or consultant of any member of the Company Group, solicit the employment or engagement of services of any such Person, or persuade, induce or attempt to persuade or induce any such Person to leave his, her or its employment or to refrain from providing services to any member of the Company Group, or (B) solicit or induce, or in any manner attempt to solicit or induce, or cause or authorize any other Person to solicit or induce any Person to cease, diminish or not commence doing business with any member of the Company Group. Notwithstanding the foregoing, general advertisements or solicitations not specifically targeting, and not made with the intent to target, employees, contractors, service providers or consultants of the Company Group will not be deemed a violation of this </w:t>
      </w:r>
      <w:r>
        <w:rPr>
          <w:rFonts w:ascii="Times New Roman;serif" w:hAnsi="Times New Roman;serif"/>
          <w:b w:val="false"/>
          <w:color w:val="000000"/>
          <w:sz w:val="22"/>
          <w:u w:val="single"/>
        </w:rPr>
        <w:t>Section 7(c)</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2"/>
          <w:u w:val="single"/>
        </w:rPr>
        <w:t>Permitted Disclosures</w:t>
      </w:r>
      <w:r>
        <w:rPr>
          <w:rFonts w:ascii="Times New Roman;serif" w:hAnsi="Times New Roman;serif"/>
          <w:b w:val="false"/>
          <w:color w:val="000000"/>
          <w:sz w:val="22"/>
        </w:rPr>
        <w:t xml:space="preserve">. Notwithstanding anything herein to the contrary, nothing in this Agreement is intended to limit or restrict the Executive from exercising any legally protected whistleblower rights (including pursuant to Rule 21F under the U.S. Securities Exchange Act of 1934, as amended), and this Agreement will be interpreted in such manner. In addition, nothing in this Agreement is intended to conflict with 18 U.S.C. § 1833(b) or create liability for disclosures of trade secrets that are expressly allowed by 18 U.S.C. § 1833(b).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2"/>
          <w:u w:val="single"/>
        </w:rPr>
        <w:t>Nondisparagement</w:t>
      </w:r>
      <w:r>
        <w:rPr>
          <w:rFonts w:ascii="Times New Roman;serif" w:hAnsi="Times New Roman;serif"/>
          <w:b w:val="false"/>
          <w:color w:val="000000"/>
          <w:sz w:val="22"/>
        </w:rPr>
        <w:t xml:space="preserve">. The Executive shall not, directly or indirectly, disparage any member of the Company Group or any of its employees, officers, directors, partners, members, equity holders, shareholders or other owners, or any of its or their businesses, products, operations or practices. Notwithstanding the foregoing, nothing in this Agreement shall prohibit you from providing accurate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60705"/>
                <wp:effectExtent l="0" t="0" r="0" b="0"/>
                <wp:wrapNone/>
                <wp:docPr id="16" name="Frame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information to any court or governmental entity; or to any person or organization in response to legal process or as otherwise required by law. In addition, nothing herein prohibits you from disclosing your working conditions as permitted by the NLRA (or as may otherwise be protected by the NLRA, EEOC, SEC, federal law, or applicable local laws) (for example, you may discuss/disclose information about unlawful acts in the workplace, such as harassment or discrimination or any other conduct that you have reason to believe is unlawful).</w:t>
      </w:r>
    </w:p>
    <w:p>
      <w:pPr>
        <w:pStyle w:val="TextBody"/>
        <w:bidi w:val="0"/>
        <w:spacing w:lineRule="auto" w:line="240"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2"/>
          <w:u w:val="single"/>
        </w:rPr>
        <w:t>Reasonableness of Restrictions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2"/>
        </w:rPr>
        <w:t xml:space="preserve">The Executive acknowledges that the restrictions contained in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are reasonable restraints upon the Executive and further acknowledges that any violation of the terms of the covenants contained in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could have a substantial detrimental effect on the Company Group. The Executive has carefully considered the nature and extent of the restrictions imposed upon him and the rights and remedies conferred upon the Company under the provisions of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and hereby acknowledges and agrees that the same are reasonable in time and territory, are designed to eliminate competition which would otherwise be unfair to the Company Group, do not stifle the Executive’s inherent skill and experience, would not operate as a bar to the Executive’s sole means of support, and are fully required to protect the legitimate interest of the Company Group and do not confer a benefit upon the Company Group disproportionate to the detriment of the Executive.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2"/>
        </w:rPr>
        <w:t>The Executive agrees that any damages resulting from any violation by the Executive of any of the covenants contained in this</w:t>
      </w:r>
      <w:r>
        <w:rPr>
          <w:color w:val="000000"/>
          <w:u w:val="single"/>
        </w:rPr>
        <w:t xml:space="preserve">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will be impossible to ascertain and for that reason agrees that the Company (or other applicable member of the Company Group) shall be entitled to an injunction without the necessity of posting bond, from any court of competent jurisdiction restraining any violation of any or all of said covenants, either directly or indirectly, and such right to injunction shall be cumulative and in addition to whatever other remedies the Company (or other applicable member of the Company Group) may have.</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2"/>
        </w:rPr>
        <w:t xml:space="preserve">If any portion of the covenants contained in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is held to be unreasonable, arbitrary or against public policy, the covenants herein shall be considered divisible both as to time and as to geographical area, and each month of the period shall be deemed to be a separate period of time. In the event any court determines the specified time period or geographic area to be unreasonable, arbitrary or against public policy, a lesser time period or geographical area which is determined to be reasonable, nonarbitrary or not against public policy may be enforced against the Executive.</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2"/>
        </w:rPr>
        <w:t xml:space="preserve">The existence of any claim or cause of action by the Executive against any member of the Company Group, whether predicated upon this Agreement or otherwise, shall not constitute a defense to the enforcement of the covenants contained in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but shall be litigated separately.</w:t>
      </w:r>
    </w:p>
    <w:p>
      <w:pPr>
        <w:pStyle w:val="TextBody"/>
        <w:bidi w:val="0"/>
        <w:spacing w:lineRule="auto" w:line="240"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2"/>
          <w:u w:val="single"/>
        </w:rPr>
        <w:t>Other Agreements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2"/>
          <w:u w:val="single"/>
        </w:rPr>
        <w:t>Confidential Information and Inventions Assignment Agreement</w:t>
      </w:r>
      <w:r>
        <w:rPr>
          <w:rFonts w:ascii="Times New Roman;serif" w:hAnsi="Times New Roman;serif"/>
          <w:b w:val="false"/>
          <w:color w:val="000000"/>
          <w:sz w:val="22"/>
        </w:rPr>
        <w:t>. As a condition to Executive’s employment with the Company, Executive shall have entered into the Company’s standard Confidential Information and Inventions Assignment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2"/>
          <w:u w:val="single"/>
        </w:rPr>
        <w:t>Indemnification; Indemnification Agreement</w:t>
      </w:r>
      <w:r>
        <w:rPr>
          <w:rFonts w:ascii="Times New Roman;serif" w:hAnsi="Times New Roman;serif"/>
          <w:b w:val="false"/>
          <w:color w:val="000000"/>
          <w:sz w:val="22"/>
        </w:rPr>
        <w:t>. During the Employment Term and thereafter, the Executive shall be indemnified to the fullest extent under the organizational documents of the Company Group in respect of the Executive’s services as a director, manager and/or officer of the Company Group. Parent and the Company shall enter into an indemnification agreement with Executive in substantially the form of indemnification agreement entered into by the Company with its directors and non-founder executive officers (the “</w:t>
      </w:r>
      <w:r>
        <w:rPr>
          <w:rFonts w:ascii="Times New Roman;serif" w:hAnsi="Times New Roman;serif"/>
          <w:b w:val="false"/>
          <w:color w:val="000000"/>
          <w:sz w:val="22"/>
          <w:u w:val="single"/>
        </w:rPr>
        <w:t>Indemnification Agreement</w:t>
      </w:r>
      <w:r>
        <w:rPr>
          <w:color w:val="000000"/>
        </w:rPr>
        <w:t>”</w:t>
      </w:r>
      <w:r>
        <w:rPr>
          <w:rFonts w:ascii="Times New Roman;serif" w:hAnsi="Times New Roman;serif"/>
          <w:b w:val="false"/>
          <w:color w:val="000000"/>
          <w:sz w:val="22"/>
        </w:rPr>
        <w:t xml:space="preserve">), and to the extent the Company enters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60705"/>
                <wp:effectExtent l="0" t="0" r="0" b="0"/>
                <wp:wrapNone/>
                <wp:docPr id="17" name="Frame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into an indemnification agreement with any other non-founder executive that provides benefits or protections superior to the benefits provided in Executive’s Indemnification Agreement, the Company shall, upon Executive’s written request, amend Executive’s Indemnification Agreement to add such requested superior protection. During the Employment Term and thereafter, the Company Group or any successor to a member of the Company Group will also provide or cause the Executive to be provided with directors’ and officers’ liability insurance on terms that are no less favorable than the coverage provided to the other directors and similarly situated non-founder officers of the Company. This </w:t>
      </w:r>
      <w:r>
        <w:rPr>
          <w:rFonts w:ascii="Times New Roman;serif" w:hAnsi="Times New Roman;serif"/>
          <w:b w:val="false"/>
          <w:color w:val="000000"/>
          <w:sz w:val="22"/>
          <w:u w:val="single"/>
        </w:rPr>
        <w:t>Section 8(b)</w:t>
      </w:r>
      <w:r>
        <w:rPr>
          <w:color w:val="000000"/>
        </w:rPr>
        <w:t xml:space="preserve"> </w:t>
      </w:r>
      <w:r>
        <w:rPr>
          <w:rFonts w:ascii="Times New Roman;serif" w:hAnsi="Times New Roman;serif"/>
          <w:b w:val="false"/>
          <w:color w:val="000000"/>
          <w:sz w:val="22"/>
        </w:rPr>
        <w:t>will survive the termination of this Agreement and the Executive’s employment with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2"/>
          <w:u w:val="single"/>
        </w:rPr>
        <w:t>Modification; Governing Law</w:t>
      </w:r>
      <w:r>
        <w:rPr>
          <w:rFonts w:ascii="Times New Roman;serif" w:hAnsi="Times New Roman;serif"/>
          <w:b w:val="false"/>
          <w:color w:val="000000"/>
          <w:sz w:val="22"/>
        </w:rPr>
        <w:t xml:space="preserve">. No provision of this Agreement may be modified unless such modification is agreed to in writing signed by the Executive, the Company and Parent. No waiver by any party hereto at any time of any breach by the other parties hereto of, or of compliance with, any condition or provision of this Agreement to be performed by such other parties shall be deemed a waiver of similar or dissimilar provisions or conditions at the same or at any prior or subsequent time. The validity, interpretation, construction and performance of this Agreement shall be governed by the laws of the State of Delaware without regard to its conflict of laws principles.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 required or permitted to be given pursuant to this Agreement shall be in writing and shall be given to the other party in person, by registered or certified mail, return receipt requested, postage prepaid, by reputable overnight courier, overnight delivery requested, or by electronic mail</w:t>
      </w:r>
      <w:r>
        <w:rPr>
          <w:color w:val="000000"/>
        </w:rPr>
        <w:t xml:space="preserve"> </w:t>
      </w:r>
      <w:r>
        <w:rPr>
          <w:rFonts w:ascii="Times New Roman;serif" w:hAnsi="Times New Roman;serif"/>
          <w:b w:val="false"/>
          <w:color w:val="000000"/>
          <w:sz w:val="22"/>
        </w:rPr>
        <w:t>addressed as follows: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the Executive:</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Executive</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At the address last on the records of the Company </w:t>
      </w:r>
    </w:p>
    <w:p>
      <w:pPr>
        <w:pStyle w:val="TextBody"/>
        <w:bidi w:val="0"/>
        <w:spacing w:before="0" w:after="0"/>
        <w:ind w:left="0" w:right="0" w:firstLine="144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the Company or Parent: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MediaAlpha,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700 S. Flower St., Suite 640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Los Angeles, CA 90017</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General Counsel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legal@mediaalpha.com</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to such other address as either party shall have furnished to the other in writing in accordance herewith. Notice and communications shall be effective when delivered in person by electronic mail with confirmation of receipt, three (3) business days after being sent by mail, or the next business day after being sent by overnight courier.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2"/>
          <w:u w:val="single"/>
        </w:rPr>
        <w:t>Withholding</w:t>
      </w:r>
      <w:r>
        <w:rPr>
          <w:rFonts w:ascii="Times New Roman;serif" w:hAnsi="Times New Roman;serif"/>
          <w:b w:val="false"/>
          <w:color w:val="000000"/>
          <w:sz w:val="22"/>
        </w:rPr>
        <w:t>. The Company (or other applicable member of the Company Group) shall be entitled to deduct and/or withhold, as the case may be, from the compensation amounts payable under this Agreement, all amounts required to be deducted or withheld under any federal, state or local law or regulation, or in connection with any Company Group employee benefit plan in which the Executive participates and which mandates a contribution, assessment or co-payment by the participants therein.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2"/>
          <w:u w:val="single"/>
        </w:rPr>
        <w:t>Clawback</w:t>
      </w:r>
      <w:r>
        <w:rPr>
          <w:rFonts w:ascii="Times New Roman;serif" w:hAnsi="Times New Roman;serif"/>
          <w:b w:val="false"/>
          <w:color w:val="000000"/>
          <w:sz w:val="22"/>
        </w:rPr>
        <w:t xml:space="preserve">. Notwithstanding any other provisions in this Agreement to the contrary, any incentive-based compensation paid to Executive under this Agreement or any other agreement or arrangement with the Company which is subject to recovery under any law, government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60705"/>
                <wp:effectExtent l="0" t="0" r="0" b="0"/>
                <wp:wrapNone/>
                <wp:docPr id="18" name="Frame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regulation, or stock exchange listing requirement will be subject to such deductions and clawback but only to the extent required by such law, government regulation, or stock exchange listing requirement (or any policy adopted by the Company pursuant to any such law, government regulation or stock exchange listing requirement to the extent generally applicable to all of the Company’s executive officers). With respect to any potential clawback or recovery effected or subject to a determination by the Board, the Board will make its determination for clawback or recovery in good faith, upon advice of counsel, and in accordance with any applicable law or regulation, and to the extent permitted by law, only after (i) providing Executive prior written notice of the deliberation of such potential clawback or recovery and (ii) providing Executive (and his counsel) an opportunity to present to the Board all relevant information related to such determination.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2"/>
          <w:u w:val="single"/>
        </w:rPr>
        <w:t>Section 409A Compliance</w:t>
      </w:r>
      <w:r>
        <w:rPr>
          <w:rFonts w:ascii="Times New Roman;serif" w:hAnsi="Times New Roman;serif"/>
          <w:b w:val="false"/>
          <w:color w:val="000000"/>
          <w:sz w:val="22"/>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2"/>
        </w:rPr>
        <w:t>The Company and the Executive intend that the benefits and payments described in this Agreement shall comply with, or be exempt from, the requirements of Section 409A of the Internal Revenue Code of 1986, as amended (“</w:t>
      </w:r>
      <w:r>
        <w:rPr>
          <w:rFonts w:ascii="Times New Roman;serif" w:hAnsi="Times New Roman;serif"/>
          <w:b w:val="false"/>
          <w:color w:val="000000"/>
          <w:sz w:val="22"/>
          <w:u w:val="single"/>
        </w:rPr>
        <w:t>Code Section 409A</w:t>
      </w:r>
      <w:r>
        <w:rPr>
          <w:color w:val="000000"/>
        </w:rPr>
        <w:t>”</w:t>
      </w:r>
      <w:r>
        <w:rPr>
          <w:rFonts w:ascii="Times New Roman;serif" w:hAnsi="Times New Roman;serif"/>
          <w:b w:val="false"/>
          <w:color w:val="000000"/>
          <w:sz w:val="22"/>
        </w:rPr>
        <w:t>). Neither the Company nor any other member of the Company Group shall in any event be obligated to indemnify the Executive for any taxes or interest that may be assessed by the Internal Revenue Service pursuant to Code Section 409A. If the Executive notifies the Company (with specificity as to the reason therefor) that the Executive believes that any provision of this Agreement (or of any award of compensation, including equity compensation or benefits) would cause the Executive to incur any additional tax or interest under Code Section 409A and the Company concurs with such belief or the Company (without any obligation whatsoever to do so) independently makes such determination, the Company shall, after consulting with the Executive, reform such provision to attempt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the Executive, the Company and Parent of the applicable provision without violating the provisions of Code Section 409A.</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2"/>
        </w:rPr>
        <w:t xml:space="preserve">To the extent required by Code Section 409A,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the Executive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not be made or provided until the date which is the earlier of (A) the expiration of the six (6)-month period measured from the date of such “separation from service” of the Executive, and (B) the date of the Executive’s death, to the extent required under Code Section 409A. Upon the expiration of the foregoing delay period, all payments and benefits delayed pursuant to this </w:t>
      </w:r>
      <w:r>
        <w:rPr>
          <w:rFonts w:ascii="Times New Roman;serif" w:hAnsi="Times New Roman;serif"/>
          <w:b w:val="false"/>
          <w:color w:val="000000"/>
          <w:sz w:val="22"/>
          <w:u w:val="single"/>
        </w:rPr>
        <w:t>Section 9(e)(ii)</w:t>
      </w:r>
      <w:r>
        <w:rPr>
          <w:color w:val="000000"/>
        </w:rPr>
        <w:t xml:space="preserve"> </w:t>
      </w:r>
      <w:r>
        <w:rPr>
          <w:rFonts w:ascii="Times New Roman;serif" w:hAnsi="Times New Roman;serif"/>
          <w:b w:val="false"/>
          <w:color w:val="000000"/>
          <w:sz w:val="22"/>
        </w:rPr>
        <w:t>(whether they would have otherwise been payable in a single sum or in installments in the absence of such delay) shall be paid or reimbursed to the Executive in a lump sum with interest at the prime rate as published in The Wall Street Journal on the first business day following the date of the “separation from service”, and any remaining payments and benefits due under this Agreement shall be paid or provided in accordance with the normal payment dates specified for them herein.</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2"/>
        </w:rPr>
        <w:t xml:space="preserve">To the extent that reimbursements or other in-kind benefits under this Agreement constitute “nonqualified deferred compensation” for purposes of Code Section 409A, (A) all expenses or other reimbursements hereunder shall be made on or prior to the last day of the taxable year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60705"/>
                <wp:effectExtent l="0" t="0" r="0" b="0"/>
                <wp:wrapNone/>
                <wp:docPr id="19" name="Frame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following the taxable year in which such expenses were incurred by the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2"/>
        </w:rPr>
        <w:t>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2"/>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2"/>
          <w:u w:val="single"/>
        </w:rPr>
        <w:t>Not Prohibited</w:t>
      </w:r>
      <w:r>
        <w:rPr>
          <w:rFonts w:ascii="Times New Roman;serif" w:hAnsi="Times New Roman;serif"/>
          <w:b w:val="false"/>
          <w:color w:val="000000"/>
          <w:sz w:val="22"/>
        </w:rPr>
        <w:t xml:space="preserve">. Executive understands that nothing in this Agreement or any other agreement with the Company shall in any way limit or prohibit Executive from engaging in any Protected Activity. For purposes of this Agreement, “Protected Activity” means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California Department of Fair Employment and Housing (“Government Agencies”). In making any such disclosures or communications, Executive agrees to take all reasonable precautions to prevent any unauthorized use or disclosure of any information that may constitute Confidential Information to any parties other than the Government Agencies. Executive further understands that Protected Activity does not include the disclosure of any Company attorney-client privileged communications. In addition, Executive hereby acknowledges that the Company has provided Executive with notice in compliance with the Defend Trade Secrets Act of 2016 regarding immunity from liability for limited disclosures of trade secrets. The full text of the notice is attached in </w:t>
      </w:r>
      <w:r>
        <w:rPr>
          <w:rFonts w:ascii="Times New Roman;serif" w:hAnsi="Times New Roman;serif"/>
          <w:b w:val="false"/>
          <w:color w:val="000000"/>
          <w:sz w:val="22"/>
          <w:u w:val="single"/>
        </w:rPr>
        <w:t>Exhibit 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2"/>
          <w:u w:val="single"/>
        </w:rPr>
        <w:t>Executive’s Cooperation</w:t>
      </w:r>
      <w:r>
        <w:rPr>
          <w:rFonts w:ascii="Times New Roman;serif" w:hAnsi="Times New Roman;serif"/>
          <w:b w:val="false"/>
          <w:color w:val="000000"/>
          <w:sz w:val="22"/>
        </w:rPr>
        <w:t xml:space="preserve">. During the Employment Term and thereafter, the Executive shall cooperate with any member of the Company Group in any internal investigation, any administrative, regulatory or judicial investigation or proceeding or any dispute with a third party as reasonably requested by Parent or the Company (including, without limitation, the Executive being available to Parent or the Company upon reasonable notice for interviews and factual investigations, appearing at Parent’s or the Company’s request to give testimony without requiring service of a subpoena or other legal process, volunteering to Parent or the Company all pertinent information and turning over to Parent or the Company all relevant documents which are or may come into the Executive’s possession, all at times and on schedules that are reasonably consistent with the Executive’s other permitted activities and commitments). In the event Parent or the Company requires the Executive’s cooperation in accordance with this paragraph, Parent or the Company, as applicable, shall reimburse the Executive solely for reasonable travel expenses (including lodging and meals) upon submission of receipts. In addition, unless prohibited by applicable law, rule or regulation, Parent or the Company, as applicable, shall pay the Executive an hourly fee, in an amount (rounded to the nearest whole cent) determined by dividing the Executive’s Base Salary as in effect on the date of termination (but without giving effect to any reduction that gave rise to Good Reason) by 2,080, for post-employment services rendered by the Executive in complying with this </w:t>
      </w:r>
      <w:r>
        <w:rPr>
          <w:rFonts w:ascii="Times New Roman;serif" w:hAnsi="Times New Roman;serif"/>
          <w:b w:val="false"/>
          <w:color w:val="000000"/>
          <w:sz w:val="22"/>
          <w:u w:val="single"/>
        </w:rPr>
        <w:t>Section 9(g)</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60705"/>
                <wp:effectExtent l="0" t="0" r="0" b="0"/>
                <wp:wrapNone/>
                <wp:docPr id="20" name="Frame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2"/>
          <w:u w:val="single"/>
        </w:rPr>
        <w:t>Validity</w:t>
      </w:r>
      <w:r>
        <w:rPr>
          <w:rFonts w:ascii="Times New Roman;serif" w:hAnsi="Times New Roman;serif"/>
          <w:b w:val="false"/>
          <w:color w:val="000000"/>
          <w:sz w:val="22"/>
        </w:rPr>
        <w:t>. The invalidity or unenforceability of any provision or provisions of this Agreement shall not affect the validity or enforceability of any other provision of this Agreement, which shall remain in full force and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one or more counterparts, each of which shall be deemed to be an original but all of which together will constitute one and the same instrument.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2"/>
          <w:u w:val="single"/>
        </w:rPr>
        <w:t>Assignment</w:t>
      </w:r>
      <w:r>
        <w:rPr>
          <w:rFonts w:ascii="Times New Roman;serif" w:hAnsi="Times New Roman;serif"/>
          <w:b w:val="false"/>
          <w:color w:val="000000"/>
          <w:sz w:val="22"/>
        </w:rPr>
        <w:t>. The Company may assign this Agreement and Executive’s employment to any member of the Company Group as part of an internal realignment of the Company’s personnel and business teams, and such assignment shall not constitute a termination of employment or Change of Control.</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Agreement, the Confidential Information and Inventions Assignment Agreement between Executive and the Company, the Indemnification Agreement between Executive and the Company, the Voluntary Mutual Agreement to Arbitrate Claims and those documents and agreements expressly referred to herein (including any equity award agreements), sets forth the entire agreement and understanding among the parties hereto and fully supersedes all prior agreements, promises, covenants, arrangements, communications, representations or warranties, whether oral or written, by the parties hereto related in any way to the subject matter hereof or thereof. The Executive acknowledges that he has not relied on any other understandings, agreements or representations in connection with his decision to accept this Agreement.</w:t>
      </w:r>
    </w:p>
    <w:p>
      <w:pPr>
        <w:pStyle w:val="TextBody"/>
        <w:bidi w:val="0"/>
        <w:spacing w:lineRule="auto" w:line="288" w:before="0" w:after="240"/>
        <w:jc w:val="center"/>
        <w:rPr/>
      </w:pPr>
      <w:r>
        <w:rPr>
          <w:rFonts w:ascii="Times New Roman;serif" w:hAnsi="Times New Roman;serif"/>
          <w:b w:val="false"/>
          <w:color w:val="000000"/>
          <w:sz w:val="24"/>
        </w:rPr>
        <w:t>(l)</w:t>
      </w:r>
      <w:r>
        <w:rPr>
          <w:rFonts w:ascii="Times New Roman;serif" w:hAnsi="Times New Roman;serif"/>
          <w:b/>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60705"/>
                <wp:effectExtent l="0" t="0" r="0" b="0"/>
                <wp:wrapNone/>
                <wp:docPr id="21" name="Frame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IN WITNESS WHEREOF, the undersigned have executed this Agreement as of the day and year first above written.</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EXECUTIVE:</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Tigran Sinanyan</w:t>
      </w:r>
    </w:p>
    <w:p>
      <w:pPr>
        <w:pStyle w:val="TextBody"/>
        <w:bidi w:val="0"/>
        <w:spacing w:before="0" w:after="0"/>
        <w:jc w:val="left"/>
        <w:rPr/>
      </w:pPr>
      <w:r>
        <w:rPr/>
      </w:r>
    </w:p>
    <w:p>
      <w:pPr>
        <w:pStyle w:val="TextBody"/>
        <w:bidi w:val="0"/>
        <w:spacing w:before="0" w:after="240"/>
        <w:ind w:left="0" w:right="0" w:firstLine="24"/>
        <w:jc w:val="left"/>
        <w:rPr/>
      </w:pPr>
      <w:r>
        <w:rPr/>
      </w:r>
    </w:p>
    <w:p>
      <w:pPr>
        <w:pStyle w:val="TextBody"/>
        <w:bidi w:val="0"/>
        <w:spacing w:lineRule="auto" w:line="288" w:before="0" w:after="240"/>
        <w:ind w:left="0" w:right="0" w:firstLine="24"/>
        <w:jc w:val="left"/>
        <w:rPr>
          <w:rFonts w:ascii="Times New Roman;serif" w:hAnsi="Times New Roman;serif"/>
          <w:b w:val="false"/>
          <w:color w:val="000000"/>
          <w:sz w:val="22"/>
        </w:rPr>
      </w:pPr>
      <w:r>
        <w:rPr>
          <w:rFonts w:ascii="Times New Roman;serif" w:hAnsi="Times New Roman;serif"/>
          <w:b w:val="false"/>
          <w:color w:val="000000"/>
          <w:sz w:val="22"/>
        </w:rPr>
        <w:t>QUOTELAB, LLC</w:t>
      </w:r>
    </w:p>
    <w:p>
      <w:pPr>
        <w:pStyle w:val="TextBody"/>
        <w:bidi w:val="0"/>
        <w:spacing w:before="0" w:after="240"/>
        <w:jc w:val="left"/>
        <w:rPr/>
      </w:pPr>
      <w:r>
        <w:rPr/>
      </w:r>
    </w:p>
    <w:p>
      <w:pPr>
        <w:pStyle w:val="TextBody"/>
        <w:bidi w:val="0"/>
        <w:spacing w:lineRule="auto" w:line="288" w:before="0" w:after="0"/>
        <w:ind w:left="0" w:right="0" w:hanging="173"/>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w:t>
      </w:r>
    </w:p>
    <w:p>
      <w:pPr>
        <w:pStyle w:val="TextBody"/>
        <w:bidi w:val="0"/>
        <w:spacing w:lineRule="auto" w:line="288" w:before="0" w:after="0"/>
        <w:ind w:left="0" w:right="0" w:hanging="173"/>
        <w:jc w:val="left"/>
        <w:rPr>
          <w:rFonts w:ascii="Times New Roman;serif" w:hAnsi="Times New Roman;serif"/>
          <w:b w:val="false"/>
          <w:color w:val="000000"/>
          <w:sz w:val="22"/>
        </w:rPr>
      </w:pPr>
      <w:r>
        <w:rPr>
          <w:rFonts w:ascii="Times New Roman;serif" w:hAnsi="Times New Roman;serif"/>
          <w:b w:val="false"/>
          <w:color w:val="000000"/>
          <w:sz w:val="22"/>
        </w:rPr>
        <w:t>Name:     Steven Yi</w:t>
      </w:r>
    </w:p>
    <w:p>
      <w:pPr>
        <w:pStyle w:val="TextBody"/>
        <w:bidi w:val="0"/>
        <w:spacing w:lineRule="auto" w:line="288" w:before="0" w:after="0"/>
        <w:ind w:left="0" w:right="0" w:hanging="173"/>
        <w:jc w:val="left"/>
        <w:rPr>
          <w:rFonts w:ascii="Times New Roman;serif" w:hAnsi="Times New Roman;serif"/>
          <w:b w:val="false"/>
          <w:color w:val="000000"/>
          <w:sz w:val="22"/>
        </w:rPr>
      </w:pPr>
      <w:r>
        <w:rPr>
          <w:rFonts w:ascii="Times New Roman;serif" w:hAnsi="Times New Roman;serif"/>
          <w:b w:val="false"/>
          <w:color w:val="000000"/>
          <w:sz w:val="22"/>
        </w:rPr>
        <w:t>Title:     President and Chief Executive Officer</w:t>
      </w:r>
    </w:p>
    <w:p>
      <w:pPr>
        <w:pStyle w:val="TextBody"/>
        <w:bidi w:val="0"/>
        <w:spacing w:before="0" w:after="0"/>
        <w:ind w:left="0" w:right="0" w:hanging="173"/>
        <w:jc w:val="left"/>
        <w:rPr/>
      </w:pPr>
      <w:r>
        <w:rPr/>
      </w:r>
    </w:p>
    <w:p>
      <w:pPr>
        <w:pStyle w:val="TextBody"/>
        <w:bidi w:val="0"/>
        <w:spacing w:before="0" w:after="0"/>
        <w:ind w:left="0" w:right="0" w:hanging="173"/>
        <w:jc w:val="left"/>
        <w:rPr/>
      </w:pPr>
      <w:r>
        <w:rPr/>
      </w:r>
    </w:p>
    <w:p>
      <w:pPr>
        <w:pStyle w:val="TextBody"/>
        <w:bidi w:val="0"/>
        <w:spacing w:before="0" w:after="0"/>
        <w:ind w:left="0" w:right="0" w:hanging="173"/>
        <w:jc w:val="left"/>
        <w:rPr/>
      </w:pPr>
      <w:r>
        <w:rPr/>
      </w:r>
    </w:p>
    <w:p>
      <w:pPr>
        <w:pStyle w:val="TextBody"/>
        <w:bidi w:val="0"/>
        <w:spacing w:lineRule="auto" w:line="288" w:before="0" w:after="240"/>
        <w:ind w:left="0" w:right="0" w:firstLine="24"/>
        <w:jc w:val="left"/>
        <w:rPr>
          <w:rFonts w:ascii="Times New Roman;serif" w:hAnsi="Times New Roman;serif"/>
          <w:b w:val="false"/>
          <w:color w:val="000000"/>
          <w:sz w:val="22"/>
        </w:rPr>
      </w:pPr>
      <w:r>
        <w:rPr>
          <w:rFonts w:ascii="Times New Roman;serif" w:hAnsi="Times New Roman;serif"/>
          <w:b w:val="false"/>
          <w:color w:val="000000"/>
          <w:sz w:val="22"/>
        </w:rPr>
        <w:t xml:space="preserve">MEDIAALPHA, INC. </w:t>
      </w:r>
    </w:p>
    <w:p>
      <w:pPr>
        <w:pStyle w:val="TextBody"/>
        <w:bidi w:val="0"/>
        <w:spacing w:before="0" w:after="240"/>
        <w:jc w:val="left"/>
        <w:rPr/>
      </w:pPr>
      <w:r>
        <w:rPr/>
      </w:r>
    </w:p>
    <w:p>
      <w:pPr>
        <w:pStyle w:val="TextBody"/>
        <w:bidi w:val="0"/>
        <w:spacing w:lineRule="auto" w:line="288" w:before="0" w:after="0"/>
        <w:ind w:left="0" w:right="0" w:hanging="173"/>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w:t>
      </w:r>
    </w:p>
    <w:p>
      <w:pPr>
        <w:pStyle w:val="TextBody"/>
        <w:bidi w:val="0"/>
        <w:spacing w:lineRule="auto" w:line="288" w:before="0" w:after="0"/>
        <w:ind w:left="0" w:right="0" w:hanging="173"/>
        <w:jc w:val="left"/>
        <w:rPr>
          <w:rFonts w:ascii="Times New Roman;serif" w:hAnsi="Times New Roman;serif"/>
          <w:b w:val="false"/>
          <w:color w:val="000000"/>
          <w:sz w:val="22"/>
        </w:rPr>
      </w:pPr>
      <w:r>
        <w:rPr>
          <w:rFonts w:ascii="Times New Roman;serif" w:hAnsi="Times New Roman;serif"/>
          <w:b w:val="false"/>
          <w:color w:val="000000"/>
          <w:sz w:val="22"/>
        </w:rPr>
        <w:t>Name:     Steven Yi</w:t>
      </w:r>
    </w:p>
    <w:p>
      <w:pPr>
        <w:pStyle w:val="TextBody"/>
        <w:bidi w:val="0"/>
        <w:spacing w:lineRule="auto" w:line="288" w:before="0" w:after="0"/>
        <w:ind w:left="0" w:right="0" w:hanging="173"/>
        <w:jc w:val="left"/>
        <w:rPr>
          <w:rFonts w:ascii="Times New Roman;serif" w:hAnsi="Times New Roman;serif"/>
          <w:b w:val="false"/>
          <w:color w:val="000000"/>
          <w:sz w:val="22"/>
        </w:rPr>
      </w:pPr>
      <w:r>
        <w:rPr>
          <w:rFonts w:ascii="Times New Roman;serif" w:hAnsi="Times New Roman;serif"/>
          <w:b w:val="false"/>
          <w:color w:val="000000"/>
          <w:sz w:val="22"/>
        </w:rPr>
        <w:t>Title:     President and Chief Executive Officer</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FORM OF RELEASE AGREEMENT</w:t>
      </w:r>
    </w:p>
    <w:p>
      <w:pPr>
        <w:pStyle w:val="TextBody"/>
        <w:bidi w:val="0"/>
        <w:spacing w:before="0" w:after="0"/>
        <w:jc w:val="left"/>
        <w:rPr/>
      </w:pPr>
      <w:r>
        <w:rPr/>
      </w:r>
    </w:p>
    <w:p>
      <w:pPr>
        <w:pStyle w:val="TextBody"/>
        <w:bidi w:val="0"/>
        <w:spacing w:lineRule="atLeast" w:line="274" w:before="0" w:after="0"/>
        <w:ind w:left="0" w:right="0" w:firstLine="720"/>
        <w:jc w:val="both"/>
        <w:rPr/>
      </w:pPr>
      <w:r>
        <w:rPr>
          <w:rFonts w:ascii="Times New Roman;serif" w:hAnsi="Times New Roman;serif"/>
          <w:b w:val="false"/>
          <w:color w:val="000000"/>
          <w:sz w:val="22"/>
        </w:rPr>
        <w:t>This RELEASE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by Tigran Sinanyan (“</w:t>
      </w:r>
      <w:r>
        <w:rPr>
          <w:rFonts w:ascii="Times New Roman;serif" w:hAnsi="Times New Roman;serif"/>
          <w:b w:val="false"/>
          <w:color w:val="000000"/>
          <w:sz w:val="22"/>
          <w:u w:val="single"/>
        </w:rPr>
        <w:t>Employee</w:t>
      </w:r>
      <w:r>
        <w:rPr>
          <w:color w:val="000000"/>
        </w:rPr>
        <w:t>”</w:t>
      </w:r>
      <w:r>
        <w:rPr>
          <w:rFonts w:ascii="Times New Roman;serif" w:hAnsi="Times New Roman;serif"/>
          <w:b w:val="false"/>
          <w:color w:val="000000"/>
          <w:sz w:val="22"/>
        </w:rPr>
        <w:t xml:space="preserve">) in exchange for the consideration set forth on </w:t>
      </w:r>
      <w:r>
        <w:rPr>
          <w:rFonts w:ascii="Times New Roman;serif" w:hAnsi="Times New Roman;serif"/>
          <w:b w:val="false"/>
          <w:color w:val="000000"/>
          <w:sz w:val="22"/>
          <w:u w:val="single"/>
        </w:rPr>
        <w:t>Appendix A</w:t>
      </w:r>
      <w:r>
        <w:rPr>
          <w:rFonts w:ascii="Times New Roman;serif" w:hAnsi="Times New Roman;serif"/>
          <w:b w:val="false"/>
          <w:color w:val="000000"/>
          <w:sz w:val="22"/>
        </w:rPr>
        <w:t xml:space="preserve">. Employee hereby agrees as follows: </w:t>
      </w:r>
    </w:p>
    <w:p>
      <w:pPr>
        <w:pStyle w:val="TextBody"/>
        <w:bidi w:val="0"/>
        <w:spacing w:before="0" w:after="0"/>
        <w:ind w:left="0" w:right="0" w:firstLine="144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1.</w:t>
      </w:r>
      <w:r>
        <w:rPr>
          <w:rFonts w:ascii="Times New Roman;serif" w:hAnsi="Times New Roman;serif"/>
          <w:b/>
          <w:color w:val="000000"/>
          <w:sz w:val="22"/>
          <w:u w:val="single"/>
        </w:rPr>
        <w:t>Release</w:t>
      </w:r>
      <w:r>
        <w:rPr>
          <w:rFonts w:ascii="Times New Roman;serif" w:hAnsi="Times New Roman;serif"/>
          <w:b w:val="false"/>
          <w:color w:val="000000"/>
          <w:sz w:val="22"/>
        </w:rPr>
        <w: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lineRule="auto" w:line="288" w:before="0" w:after="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Employee, on behalf of Employee and Employee’s heirs, spouse, executors, administrators, successors and assigns, hereby voluntarily, unconditionally, irrevocably and absolutely releases and discharges each member of the Company Group (defined below) and each of its predecessors, successors and assigns, and each of their respective past, present and future employees, officers, directors, agents, owners, partners, members, equity holders, shareholders, representatives, attorneys, insurers and benefit plans (collectively, the “</w:t>
      </w:r>
      <w:r>
        <w:rPr>
          <w:rFonts w:ascii="Times New Roman;serif" w:hAnsi="Times New Roman;serif"/>
          <w:b w:val="false"/>
          <w:color w:val="000000"/>
          <w:sz w:val="22"/>
          <w:u w:val="single"/>
        </w:rPr>
        <w:t>Released Parties</w:t>
      </w:r>
      <w:r>
        <w:rPr>
          <w:color w:val="000000"/>
        </w:rPr>
        <w:t>”</w:t>
      </w:r>
      <w:r>
        <w:rPr>
          <w:rFonts w:ascii="Times New Roman;serif" w:hAnsi="Times New Roman;serif"/>
          <w:b w:val="false"/>
          <w:color w:val="000000"/>
          <w:sz w:val="22"/>
        </w:rPr>
        <w:t>), from all claims, demands, causes of action, suits, controversies, actions, crossclaims, counterclaims, demands, debts, compensatory damages, liquidated damages, punitive or exemplary damages, any other damages, claims for costs and attorneys’ fees, losses or liabilities of any nature whatsoever in law and in equity and any other liabilities, known or unknown, suspected or unsuspected of any nature whatsoever (hereinafter,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that Employee has or may have against the Released Parties from the beginning of time through the date upon which Employee signs this Agreement, including, but not limited to, those Claims: (i) arising from or in any way related to Employee’s employment or termination of employment with any of the Released Parties; (ii) arising from or in any way related to any agreement with any of the Released Parties, including under that certain Employment Agreement to which Employee is a party and pursuant to which this Agreement is being executed and delivered (the “</w:t>
      </w:r>
      <w:r>
        <w:rPr>
          <w:rFonts w:ascii="Times New Roman;serif" w:hAnsi="Times New Roman;serif"/>
          <w:b w:val="false"/>
          <w:color w:val="000000"/>
          <w:sz w:val="22"/>
          <w:u w:val="single"/>
        </w:rPr>
        <w:t>Employment Agreement</w:t>
      </w:r>
      <w:r>
        <w:rPr>
          <w:color w:val="000000"/>
        </w:rPr>
        <w:t>”</w:t>
      </w:r>
      <w:r>
        <w:rPr>
          <w:rFonts w:ascii="Times New Roman;serif" w:hAnsi="Times New Roman;serif"/>
          <w:b w:val="false"/>
          <w:color w:val="000000"/>
          <w:sz w:val="22"/>
        </w:rPr>
        <w:t>); and/or (iii) arising from or in any way related to awards, policies, plans, programs or practices of any of the Released Parties that may apply to Employee or in which Employee may participate, in each case, including, but not limited to, (x) any Claims for an alleged violation of any federal, state or local laws or regulations, to the extent permitted by applicable law, including, but not limited to, the Age Discrimination in Employment Act, California Civil Code and the California Fair Employment and Housing Act; (y) any Claims for negligent or intentional infliction of emotional distress, breach of contract, fraud or any other unlawful behavior; and (z) any Claims for wages, commissions, incentive pay, vacation, paid time off, expense reimbursements, severance pay and benefits, retention pay, benefits, notice pay, punitive damages, liquidated damages, penalties, attorneys’ fees, costs and/or expenses. As used herein, “</w:t>
      </w:r>
      <w:r>
        <w:rPr>
          <w:rFonts w:ascii="Times New Roman;serif" w:hAnsi="Times New Roman;serif"/>
          <w:b w:val="false"/>
          <w:color w:val="000000"/>
          <w:sz w:val="22"/>
          <w:u w:val="single"/>
        </w:rPr>
        <w:t>Company Group</w:t>
      </w:r>
      <w:r>
        <w:rPr>
          <w:color w:val="000000"/>
        </w:rPr>
        <w:t xml:space="preserve">” </w:t>
      </w:r>
      <w:r>
        <w:rPr>
          <w:rFonts w:ascii="Times New Roman;serif" w:hAnsi="Times New Roman;serif"/>
          <w:b w:val="false"/>
          <w:color w:val="000000"/>
          <w:sz w:val="22"/>
        </w:rPr>
        <w:t>means, collectively, QuoteLab, LLC, a Delaware limited liability company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MediaAlpha, Inc., a Delaware corporation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 xml:space="preserve">), and their respective direct and indirect subsidiaries.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lineRule="auto" w:line="288"/>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Employee represents that Employee has not made an assignment or transfer of any right or Claim covered by this Agreement and Employee represents that Employee is not aware of any such right or Claim. Employee further affirms that he has not filed or caused to be filed, and presently is not a party to, any Claim, complaint or action against any of the Released Parties in any forum or form and that he knows of no facts which may lead to any Claim, complaint or action being filed against any of the Released Parties in any forum by Employee or by any agency, group, or class of persons. Employee further affirms that he has no known workplace injuries or occupational diseases and has been provided and/or has not been denied any leave requested under the Family and Medical Leave Act of 1993. If any agency or court assumes jurisdiction of any such Claim, complaint or action against any of the Released Parties on behalf of Employee, Employee will request such agency or court to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withdraw the matter.</w:t>
      </w:r>
    </w:p>
    <w:p>
      <w:pPr>
        <w:pStyle w:val="TextBody"/>
        <w:bidi w:val="0"/>
        <w:spacing w:lineRule="auto" w:line="288"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Employee understands that Employee may later discover claims or facts that may be different than, or in addition to, those which Employee now knows or believes to exist with regards to the subject matter of this Agreement, and which, if known at the time of executing this Agreement, may have materially affected this Agreement or Employee’s decision to enter into it. Employee hereby waives any right or claim that might arise as a result of such different or additional claims or facts, and Employee understands the provisions of California Civil Code Section 1542 and hereby expressly waives any and all rights, benefits and protections of the statute, which provides: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lineRule="auto" w:line="288" w:before="0" w:after="0"/>
        <w:jc w:val="both"/>
        <w:rPr/>
      </w:pPr>
      <w:r>
        <w:rPr>
          <w:rFonts w:ascii="Times New Roman;serif" w:hAnsi="Times New Roman;serif"/>
          <w:b w:val="false"/>
          <w:color w:val="000000"/>
          <w:sz w:val="24"/>
        </w:rPr>
        <w:t>5.</w:t>
      </w:r>
      <w:r>
        <w:rPr>
          <w:color w:val="000000"/>
        </w:rPr>
        <w:t>“</w:t>
      </w: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color w:val="000000"/>
        </w:rPr>
        <w:t xml:space="preserve"> </w:t>
      </w:r>
    </w:p>
    <w:p>
      <w:pPr>
        <w:pStyle w:val="TextBody"/>
        <w:bidi w:val="0"/>
        <w:spacing w:lineRule="auto" w:line="288" w:before="0" w:after="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This Agreement is not intended to bar any rights or Claims by Employee (i) that may not be waived by private agreement under applicable law, such as rights or Claims for workers’ compensation or unemployment insurance benefits, (ii) with respect to his rights to “Accrued Obligations” (as defined under the Employment Agreement) and the payments and benefits set forth on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hereto, (iii) under the Company’s 401(k) plan (if any), (iv) in Employee’s capacity as a stockholder of the Company; or (v) with respect to directors’ and officers’ liability insurance coverage or indemnification rights (if any).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lineRule="auto" w:line="288" w:before="0" w:after="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Nothing in this Agreement is intended to prohibit or restrict Employee’s right to file a charge with, or participate in a charge by, the Equal Employment Opportunity Commission or the California Department of Fair Employment and Housing;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Employee hereby waives the right to recover any monetary damages or other relief against any Released Parties. Nothing in this Agreement shall prohibit Employee from receiving any monetary award to which Employee becomes entitled pursuant to Section 922 of the Dodd-Frank Wall Street Reform and Consumer Protection Act.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lineRule="auto" w:line="240" w:before="0" w:after="0"/>
        <w:ind w:left="0" w:right="0" w:firstLine="720"/>
        <w:jc w:val="both"/>
        <w:rPr/>
      </w:pPr>
      <w:r>
        <w:rPr>
          <w:rFonts w:ascii="Times New Roman;serif" w:hAnsi="Times New Roman;serif"/>
          <w:b w:val="false"/>
          <w:color w:val="000000"/>
          <w:sz w:val="22"/>
        </w:rPr>
        <w:t>8.</w:t>
      </w:r>
      <w:r>
        <w:rPr>
          <w:rFonts w:ascii="Times New Roman;serif" w:hAnsi="Times New Roman;serif"/>
          <w:b/>
          <w:color w:val="000000"/>
          <w:sz w:val="22"/>
          <w:u w:val="single"/>
        </w:rPr>
        <w:t>Consultation/Voluntary Agreement</w:t>
      </w:r>
      <w:r>
        <w:rPr>
          <w:rFonts w:ascii="Times New Roman;serif" w:hAnsi="Times New Roman;serif"/>
          <w:b w:val="false"/>
          <w:color w:val="000000"/>
          <w:sz w:val="22"/>
        </w:rPr>
        <w:t>. Employee acknowledges that the Company has advised Employee to consult with an attorney prior to executing this Agreement. Employee has carefully read and fully understands all of the provisions of this Agreement. Employee is entering into this Agreement, knowingly, freely and voluntarily in exchange for good and valuable consideration to which Employee would not be entitled in the absence of executing and not revoking this Agreement.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9.</w:t>
      </w:r>
      <w:r>
        <w:rPr>
          <w:rFonts w:ascii="Times New Roman;serif" w:hAnsi="Times New Roman;serif"/>
          <w:b/>
          <w:color w:val="000000"/>
          <w:sz w:val="22"/>
          <w:u w:val="single"/>
        </w:rPr>
        <w:t>Review and Revocation Period</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Employee has been given at least twenty-one (21) calendar days to consider the terms of this Agreement, although Employee may sign it sooner, so long as it is after Employee’s last day of employment with the Company. </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Employee will have seven (7) calendar days from the date on which such Employee signs this Agreement to revoke Employee’s consent to this Agreement. Such revocation must be in writing and must be e-mailed to the Company’s General Counsel. Notice of such revocation must be received within the seven (7) calendar days referenced above.</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of such revocation by Employee, this Agreement shall be null and void in its entirety and Employee shall not have any rights to the consideration set forth on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 xml:space="preserve">hereto. Provided that Employee does not revoke this Agreement within the time period set forth above, this Agreement shall become effective on the eighth (8th) calendar day after the date upon which Employee signs it.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lineRule="auto" w:line="240" w:before="0" w:after="0"/>
        <w:ind w:left="0" w:right="0" w:firstLine="720"/>
        <w:jc w:val="both"/>
        <w:rPr/>
      </w:pPr>
      <w:r>
        <w:rPr>
          <w:rFonts w:ascii="Times New Roman;serif" w:hAnsi="Times New Roman;serif"/>
          <w:b w:val="false"/>
          <w:color w:val="000000"/>
          <w:sz w:val="22"/>
        </w:rPr>
        <w:t>11.</w:t>
      </w:r>
      <w:r>
        <w:rPr>
          <w:rFonts w:ascii="Times New Roman;serif" w:hAnsi="Times New Roman;serif"/>
          <w:b/>
          <w:color w:val="000000"/>
          <w:sz w:val="22"/>
          <w:u w:val="single"/>
        </w:rPr>
        <w:t>Permitted Disclosures</w:t>
      </w:r>
      <w:r>
        <w:rPr>
          <w:rFonts w:ascii="Times New Roman;serif" w:hAnsi="Times New Roman;serif"/>
          <w:b w:val="false"/>
          <w:color w:val="000000"/>
          <w:sz w:val="22"/>
        </w:rPr>
        <w:t>. Nothing in this Agreement shall prohibit or restrict either party or their respective attorneys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or legislative body, any self-regulatory organization, and/or pursuant to the Sarbanes-Oxley Act; or (c) accepting any U.S. Securities and Exchange Commission awards. In addition, nothing in this Agreement prohibits or restricts Company or Employee from initiating communications with, or responding to any inquiry from, any regulatory or supervisory authority regarding any good faith concerns about possible violations of law or regulation. Without limiting the foregoing, nothing in this Agreement prohibits Employee from: (i) filing and, as provided for under Section 21F of the Securities Exchange Act of 1934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maintaining the confidentiality of a claim with the Securities and Exchange Commission (the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(ii) providing confidential information to the SEC to the extent permitted by Section 21F of the Exchange Act; (iii) cooperating, participating or assisting in an SEC investigation or proceeding without notifying the Company; or (iv) receiving a monetary award as set forth in Section 21F of the Exchange Act.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lineRule="auto" w:line="240" w:before="0" w:after="0"/>
        <w:ind w:left="0" w:right="0" w:firstLine="720"/>
        <w:jc w:val="both"/>
        <w:rPr/>
      </w:pPr>
      <w:r>
        <w:rPr>
          <w:rFonts w:ascii="Times New Roman;serif" w:hAnsi="Times New Roman;serif"/>
          <w:b w:val="false"/>
          <w:color w:val="000000"/>
          <w:sz w:val="22"/>
        </w:rPr>
        <w:t>13.</w:t>
      </w:r>
      <w:r>
        <w:rPr>
          <w:rFonts w:ascii="Times New Roman;serif" w:hAnsi="Times New Roman;serif"/>
          <w:b/>
          <w:color w:val="000000"/>
          <w:sz w:val="22"/>
          <w:u w:val="single"/>
        </w:rPr>
        <w:t>Nondisparagement</w:t>
      </w:r>
      <w:r>
        <w:rPr>
          <w:rFonts w:ascii="Times New Roman;serif" w:hAnsi="Times New Roman;serif"/>
          <w:b w:val="false"/>
          <w:color w:val="000000"/>
          <w:sz w:val="22"/>
        </w:rPr>
        <w:t>. Employee shall not, directly or indirectly, disparage any member of the Company Group or any of its employees, officers, directors, partners, members, equity holders, shareholders or other owners, or any of its or their businesses, products, operations or practices. The Company shall not, and shall instruct its directors and executive officers (and those of its subsidiaries or affiliates) not to, directly or indirectly, disparage the Employee. Notwithstanding the foregoing, nothing in this Agreement shall preclude the making of truthful statements that are required by applicable law, regulation or legal process.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lineRule="auto" w:line="240" w:before="0" w:after="0"/>
        <w:ind w:left="0" w:right="0" w:firstLine="720"/>
        <w:jc w:val="both"/>
        <w:rPr/>
      </w:pPr>
      <w:r>
        <w:rPr>
          <w:rFonts w:ascii="Times New Roman;serif" w:hAnsi="Times New Roman;serif"/>
          <w:b w:val="false"/>
          <w:color w:val="000000"/>
          <w:sz w:val="22"/>
        </w:rPr>
        <w:t>15.</w:t>
      </w:r>
      <w:r>
        <w:rPr>
          <w:rFonts w:ascii="Times New Roman;serif" w:hAnsi="Times New Roman;serif"/>
          <w:b/>
          <w:color w:val="000000"/>
          <w:sz w:val="22"/>
          <w:u w:val="single"/>
        </w:rPr>
        <w:t>Return of Property</w:t>
      </w:r>
      <w:r>
        <w:rPr>
          <w:rFonts w:ascii="Times New Roman;serif" w:hAnsi="Times New Roman;serif"/>
          <w:b w:val="false"/>
          <w:color w:val="000000"/>
          <w:sz w:val="22"/>
        </w:rPr>
        <w:t xml:space="preserve">. Employee represents that Employee has returned to the Company all of the Company’s property, including, but not limited to, all computer equipment, Company cars, property passes, keys, credit cards, business cards, identification passes, documents, business information market studies, financial data, memoranda and/or confidential, proprietary or nonpublic information.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lineRule="auto" w:line="240" w:before="0" w:after="0"/>
        <w:ind w:left="0" w:right="0" w:firstLine="720"/>
        <w:jc w:val="both"/>
        <w:rPr/>
      </w:pPr>
      <w:r>
        <w:rPr>
          <w:rFonts w:ascii="Times New Roman;serif" w:hAnsi="Times New Roman;serif"/>
          <w:b w:val="false"/>
          <w:color w:val="000000"/>
          <w:sz w:val="22"/>
        </w:rPr>
        <w:t>17.</w:t>
      </w:r>
      <w:r>
        <w:rPr>
          <w:rFonts w:ascii="Times New Roman;serif" w:hAnsi="Times New Roman;serif"/>
          <w:b/>
          <w:color w:val="000000"/>
          <w:sz w:val="22"/>
          <w:u w:val="single"/>
        </w:rPr>
        <w:t>Savings Clause</w:t>
      </w:r>
      <w:r>
        <w:rPr>
          <w:rFonts w:ascii="Times New Roman;serif" w:hAnsi="Times New Roman;serif"/>
          <w:b w:val="false"/>
          <w:color w:val="000000"/>
          <w:sz w:val="22"/>
        </w:rPr>
        <w:t xml:space="preserve">.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of this Agreement is invalid, illegal or unenforceable, this Agreement shall be enforceable as closely as possible to its original intent, which is to provide the Released Parties with a full release of all legally releasable claims through the date upon which Employee signs this Agreement.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lineRule="auto" w:line="240" w:before="0" w:after="0"/>
        <w:ind w:left="0" w:right="0" w:firstLine="720"/>
        <w:jc w:val="both"/>
        <w:rPr/>
      </w:pPr>
      <w:r>
        <w:rPr>
          <w:rFonts w:ascii="Times New Roman;serif" w:hAnsi="Times New Roman;serif"/>
          <w:b w:val="false"/>
          <w:color w:val="000000"/>
          <w:sz w:val="22"/>
        </w:rPr>
        <w:t>19.</w:t>
      </w:r>
      <w:r>
        <w:rPr>
          <w:rFonts w:ascii="Times New Roman;serif" w:hAnsi="Times New Roman;serif"/>
          <w:b/>
          <w:color w:val="000000"/>
          <w:sz w:val="22"/>
          <w:u w:val="single"/>
        </w:rPr>
        <w:t>Third-Party Beneficiaries</w:t>
      </w:r>
      <w:r>
        <w:rPr>
          <w:rFonts w:ascii="Times New Roman;serif" w:hAnsi="Times New Roman;serif"/>
          <w:b w:val="false"/>
          <w:color w:val="000000"/>
          <w:sz w:val="22"/>
        </w:rPr>
        <w:t>. Employee acknowledges and agrees that all Released Parties are third-party beneficiaries of this Agreement and have the right to enforce this Agreement.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lineRule="auto" w:line="240" w:before="0" w:after="0"/>
        <w:ind w:left="0" w:right="0" w:firstLine="720"/>
        <w:jc w:val="both"/>
        <w:rPr/>
      </w:pPr>
      <w:r>
        <w:rPr>
          <w:rFonts w:ascii="Times New Roman;serif" w:hAnsi="Times New Roman;serif"/>
          <w:b w:val="false"/>
          <w:color w:val="000000"/>
          <w:sz w:val="22"/>
        </w:rPr>
        <w:t>21.</w:t>
      </w:r>
      <w:r>
        <w:rPr>
          <w:rFonts w:ascii="Times New Roman;serif" w:hAnsi="Times New Roman;serif"/>
          <w:b/>
          <w:color w:val="000000"/>
          <w:sz w:val="22"/>
          <w:u w:val="single"/>
        </w:rPr>
        <w:t>No Admission of Wrongdoing</w:t>
      </w:r>
      <w:r>
        <w:rPr>
          <w:rFonts w:ascii="Times New Roman;serif" w:hAnsi="Times New Roman;serif"/>
          <w:b w:val="false"/>
          <w:color w:val="000000"/>
          <w:sz w:val="22"/>
        </w:rPr>
        <w:t>. Employee agrees that neither this Agreement, nor the furnishing of the consideration for this Agreement, shall be deemed or construed at any time to be an admission by any Released Parties of any improper or unlawful conduct.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lineRule="auto" w:line="240" w:before="0" w:after="0"/>
        <w:ind w:left="0" w:right="0" w:firstLine="720"/>
        <w:jc w:val="both"/>
        <w:rPr/>
      </w:pPr>
      <w:r>
        <w:rPr>
          <w:rFonts w:ascii="Times New Roman;serif" w:hAnsi="Times New Roman;serif"/>
          <w:b w:val="false"/>
          <w:color w:val="000000"/>
          <w:sz w:val="22"/>
        </w:rPr>
        <w:t>23.</w:t>
      </w:r>
      <w:r>
        <w:rPr>
          <w:rFonts w:ascii="Times New Roman;serif" w:hAnsi="Times New Roman;serif"/>
          <w:b/>
          <w:color w:val="000000"/>
          <w:sz w:val="22"/>
          <w:u w:val="single"/>
        </w:rPr>
        <w:t>Governing Law</w:t>
      </w:r>
      <w:r>
        <w:rPr>
          <w:rFonts w:ascii="Times New Roman;serif" w:hAnsi="Times New Roman;serif"/>
          <w:b w:val="false"/>
          <w:color w:val="000000"/>
          <w:sz w:val="22"/>
        </w:rPr>
        <w:t xml:space="preserve">. This Agreement shall be governed by, and construed in accordance with, the laws of the State of California, without regard to the application of any choice-of-law rules that would result in the application of another state’s laws. </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2"/>
        </w:rPr>
        <w:t>25.</w:t>
      </w:r>
      <w:r>
        <w:rPr>
          <w:rFonts w:ascii="Times New Roman;serif" w:hAnsi="Times New Roman;serif"/>
          <w:b/>
          <w:color w:val="000000"/>
          <w:sz w:val="22"/>
          <w:u w:val="single"/>
        </w:rPr>
        <w:t>Entire Agreement; No Oral Modifications</w:t>
      </w:r>
      <w:r>
        <w:rPr>
          <w:rFonts w:ascii="Times New Roman;serif" w:hAnsi="Times New Roman;serif"/>
          <w:b w:val="false"/>
          <w:color w:val="000000"/>
          <w:sz w:val="22"/>
        </w:rPr>
        <w:t>. This Agreement sets forth Employee’s entire agreement with the Company with respect to the subject matter hereof and shall supersede all prior and contemporaneous communications, negotiations, agreements and understandings, written or oral, with respect thereto. This Agreement may not be modified, amended or waived unless mutually agreed to in writing by Employee and the Company.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lineRule="auto" w:line="288" w:before="0" w:after="0"/>
        <w:ind w:left="0" w:right="0" w:firstLine="1440"/>
        <w:jc w:val="left"/>
        <w:rPr/>
      </w:pPr>
      <w:r>
        <w:rPr>
          <w:rFonts w:ascii="Times New Roman;serif" w:hAnsi="Times New Roman;serif"/>
          <w:b w:val="false"/>
          <w:color w:val="000000"/>
          <w:sz w:val="24"/>
        </w:rPr>
        <w:t>27.</w:t>
      </w:r>
      <w:r>
        <w:rPr>
          <w:rFonts w:ascii="Times New Roman;serif" w:hAnsi="Times New Roman;serif"/>
          <w:b w:val="false"/>
          <w:color w:val="000000"/>
          <w:sz w:val="22"/>
        </w:rPr>
        <w:t>IN WITNESS WHEREOF, Employee has executed this Agreement as of the below-indicated date.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28.</w:t>
      </w:r>
    </w:p>
    <w:tbl>
      <w:tblPr>
        <w:tblW w:w="4740" w:type="dxa"/>
        <w:jc w:val="left"/>
        <w:tblInd w:w="0" w:type="dxa"/>
        <w:tblLayout w:type="fixed"/>
        <w:tblCellMar>
          <w:top w:w="28" w:type="dxa"/>
          <w:left w:w="28" w:type="dxa"/>
          <w:bottom w:w="28" w:type="dxa"/>
          <w:right w:w="28" w:type="dxa"/>
        </w:tblCellMar>
      </w:tblPr>
      <w:tblGrid>
        <w:gridCol w:w="1518"/>
        <w:gridCol w:w="1335"/>
        <w:gridCol w:w="1887"/>
      </w:tblGrid>
      <w:tr>
        <w:trPr/>
        <w:tc>
          <w:tcPr>
            <w:tcW w:w="1518"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jc w:val="left"/>
              <w:rPr/>
            </w:pPr>
            <w:r>
              <w:rPr>
                <w:rFonts w:ascii="Times New Roman;serif" w:hAnsi="Times New Roman;serif"/>
                <w:b w:val="false"/>
                <w:color w:val="000000"/>
                <w:sz w:val="24"/>
              </w:rPr>
              <w:t>1.</w:t>
            </w:r>
            <w:r>
              <w:rPr>
                <w:rFonts w:ascii="Times New Roman;serif" w:hAnsi="Times New Roman;serif"/>
                <w:b/>
                <w:color w:val="000000"/>
                <w:sz w:val="22"/>
              </w:rPr>
              <w:t>EMPLOYEE</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w:t>
              <w:br/>
              <w:t>(Signature)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Print Name: __________________________</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w:t>
            </w:r>
          </w:p>
          <w:p>
            <w:pPr>
              <w:pStyle w:val="TableContents"/>
              <w:bidi w:val="0"/>
              <w:spacing w:lineRule="auto" w:line="288" w:before="0" w:after="0"/>
              <w:jc w:val="left"/>
              <w:rPr/>
            </w:pPr>
            <w:r>
              <w:rPr>
                <w:rFonts w:ascii="Times New Roman;serif" w:hAnsi="Times New Roman;serif"/>
                <w:b w:val="false"/>
                <w:color w:val="000000"/>
                <w:sz w:val="24"/>
              </w:rPr>
              <w:t>3.</w:t>
            </w:r>
            <w:r>
              <w:rPr>
                <w:rFonts w:ascii="Times New Roman;serif" w:hAnsi="Times New Roman;serif"/>
                <w:b w:val="false"/>
                <w:color w:val="000000"/>
                <w:sz w:val="22"/>
              </w:rPr>
              <w:t>Date: ________________________________</w:t>
            </w:r>
          </w:p>
          <w:p>
            <w:pPr>
              <w:pStyle w:val="TableContents"/>
              <w:bidi w:val="0"/>
              <w:spacing w:lineRule="auto" w:line="288" w:before="0" w:after="0"/>
              <w:jc w:val="left"/>
              <w:rPr/>
            </w:pPr>
            <w:r>
              <w:rPr>
                <w:rFonts w:ascii="Times New Roman;serif" w:hAnsi="Times New Roman;serif"/>
                <w:b w:val="false"/>
                <w:color w:val="000000"/>
                <w:sz w:val="24"/>
              </w:rPr>
              <w:t>4.</w:t>
            </w:r>
            <w:r>
              <w:rPr>
                <w:rFonts w:ascii="Times New Roman;serif" w:hAnsi="Times New Roman;serif"/>
                <w:b w:val="false"/>
                <w:color w:val="000000"/>
                <w:sz w:val="16"/>
              </w:rPr>
              <w:t>1</w:t>
            </w:r>
          </w:p>
        </w:tc>
      </w:tr>
    </w:tbl>
    <w:p>
      <w:pPr>
        <w:pStyle w:val="TextBody"/>
        <w:bidi w:val="0"/>
        <w:spacing w:before="0" w:after="0"/>
        <w:jc w:val="center"/>
        <w:rPr/>
      </w:pPr>
      <w:r>
        <w:rPr/>
      </w:r>
    </w:p>
    <w:p>
      <w:pPr>
        <w:pStyle w:val="TextBody"/>
        <w:bidi w:val="0"/>
        <w:spacing w:lineRule="auto" w:line="288"/>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0"/>
        </w:rPr>
        <w:t>To be dated no earlier than the Last Day of Employment and no later than 52 days after the Last Day of Employment.</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2"/>
          <w:u w:val="single"/>
        </w:rPr>
        <w:t>APPENDIX A</w:t>
      </w:r>
      <w:r>
        <w:rPr>
          <w:rFonts w:ascii="Times New Roman;serif" w:hAnsi="Times New Roman;serif"/>
          <w:b/>
          <w:color w:val="000000"/>
          <w:sz w:val="14"/>
          <w:u w:val="single"/>
        </w:rPr>
        <w:t>2</w:t>
      </w:r>
    </w:p>
    <w:p>
      <w:pPr>
        <w:pStyle w:val="TextBody"/>
        <w:bidi w:val="0"/>
        <w:spacing w:before="0" w:after="0"/>
        <w:jc w:val="center"/>
        <w:rPr/>
      </w:pPr>
      <w:r>
        <w:rPr/>
      </w:r>
    </w:p>
    <w:tbl>
      <w:tblPr>
        <w:tblW w:w="4722" w:type="dxa"/>
        <w:jc w:val="left"/>
        <w:tblInd w:w="0" w:type="dxa"/>
        <w:tblLayout w:type="fixed"/>
        <w:tblCellMar>
          <w:top w:w="28" w:type="dxa"/>
          <w:left w:w="28" w:type="dxa"/>
          <w:bottom w:w="28" w:type="dxa"/>
          <w:right w:w="28" w:type="dxa"/>
        </w:tblCellMar>
      </w:tblPr>
      <w:tblGrid>
        <w:gridCol w:w="124"/>
        <w:gridCol w:w="109"/>
        <w:gridCol w:w="109"/>
        <w:gridCol w:w="1024"/>
        <w:gridCol w:w="1024"/>
        <w:gridCol w:w="1027"/>
        <w:gridCol w:w="382"/>
        <w:gridCol w:w="382"/>
        <w:gridCol w:w="5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1</w:t>
            </w:r>
          </w:p>
        </w:tc>
        <w:tc>
          <w:tcPr>
            <w:tcW w:w="3075" w:type="dxa"/>
            <w:gridSpan w:val="3"/>
            <w:tcBorders>
              <w:top w:val="single" w:sz="4" w:space="0" w:color="000000"/>
              <w:left w:val="single" w:sz="6"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Employee Name</w:t>
            </w:r>
            <w:r>
              <w:rPr>
                <w:rFonts w:ascii="Times New Roman;serif" w:hAnsi="Times New Roman;serif"/>
                <w:b w:val="false"/>
                <w:color w:val="000000"/>
                <w:sz w:val="22"/>
              </w:rPr>
              <w:t>:</w:t>
            </w:r>
          </w:p>
        </w:tc>
        <w:tc>
          <w:tcPr>
            <w:tcW w:w="1305" w:type="dxa"/>
            <w:gridSpan w:val="3"/>
            <w:tcBorders>
              <w:top w:val="single" w:sz="4" w:space="0" w:color="000000"/>
              <w:left w:val="single" w:sz="6" w:space="0" w:color="000000"/>
              <w:right w:val="single" w:sz="4" w:space="0" w:color="000000"/>
            </w:tcBorders>
            <w:tcMar>
              <w:top w:w="30" w:type="dxa"/>
              <w:left w:w="75" w:type="dxa"/>
              <w:bottom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[TO COME]</w:t>
            </w:r>
          </w:p>
        </w:tc>
      </w:tr>
      <w:tr>
        <w:trPr/>
        <w:tc>
          <w:tcPr>
            <w:tcW w:w="342"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2</w:t>
            </w:r>
          </w:p>
        </w:tc>
        <w:tc>
          <w:tcPr>
            <w:tcW w:w="30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Last Day of Employment</w:t>
            </w:r>
            <w:r>
              <w:rPr>
                <w:rFonts w:ascii="Times New Roman;serif" w:hAnsi="Times New Roman;serif"/>
                <w:b w:val="false"/>
                <w:color w:val="000000"/>
                <w:sz w:val="22"/>
              </w:rPr>
              <w:t>:</w:t>
            </w:r>
            <w:r>
              <w:rPr>
                <w:color w:val="000000"/>
              </w:rPr>
              <w:t xml:space="preserve"> </w:t>
            </w:r>
          </w:p>
        </w:tc>
        <w:tc>
          <w:tcPr>
            <w:tcW w:w="1305" w:type="dxa"/>
            <w:gridSpan w:val="3"/>
            <w:tcBorders>
              <w:top w:val="single" w:sz="6" w:space="0" w:color="000000"/>
              <w:left w:val="single" w:sz="6" w:space="0" w:color="000000"/>
              <w:right w:val="single" w:sz="4" w:space="0" w:color="000000"/>
            </w:tcBorders>
            <w:tcMar>
              <w:top w:w="30" w:type="dxa"/>
              <w:left w:w="75" w:type="dxa"/>
              <w:bottom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[TO COME]</w:t>
            </w:r>
          </w:p>
        </w:tc>
      </w:tr>
      <w:tr>
        <w:trPr/>
        <w:tc>
          <w:tcPr>
            <w:tcW w:w="342"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3</w:t>
            </w:r>
          </w:p>
        </w:tc>
        <w:tc>
          <w:tcPr>
            <w:tcW w:w="30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Date By Which Release </w:t>
            </w:r>
          </w:p>
          <w:p>
            <w:pPr>
              <w:pStyle w:val="TableContents"/>
              <w:bidi w:val="0"/>
              <w:spacing w:lineRule="auto" w:line="288" w:before="0" w:after="0"/>
              <w:jc w:val="left"/>
              <w:rPr/>
            </w:pPr>
            <w:r>
              <w:rPr>
                <w:rFonts w:ascii="Times New Roman;serif" w:hAnsi="Times New Roman;serif"/>
                <w:b/>
                <w:color w:val="000000"/>
                <w:sz w:val="22"/>
              </w:rPr>
              <w:t>Must Be Signed and Returned</w:t>
            </w:r>
            <w:r>
              <w:rPr>
                <w:rFonts w:ascii="Times New Roman;serif" w:hAnsi="Times New Roman;serif"/>
                <w:b w:val="false"/>
                <w:color w:val="000000"/>
                <w:sz w:val="22"/>
              </w:rPr>
              <w:t>:</w:t>
            </w:r>
          </w:p>
        </w:tc>
        <w:tc>
          <w:tcPr>
            <w:tcW w:w="1305" w:type="dxa"/>
            <w:gridSpan w:val="3"/>
            <w:tcBorders>
              <w:top w:val="single" w:sz="6" w:space="0" w:color="000000"/>
              <w:left w:val="single" w:sz="6" w:space="0" w:color="000000"/>
              <w:right w:val="single" w:sz="4" w:space="0" w:color="000000"/>
            </w:tcBorders>
            <w:tcMar>
              <w:top w:w="30" w:type="dxa"/>
              <w:left w:w="75" w:type="dxa"/>
              <w:bottom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[TO COME]</w:t>
            </w:r>
          </w:p>
        </w:tc>
      </w:tr>
      <w:tr>
        <w:trPr/>
        <w:tc>
          <w:tcPr>
            <w:tcW w:w="342"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4</w:t>
            </w:r>
          </w:p>
        </w:tc>
        <w:tc>
          <w:tcPr>
            <w:tcW w:w="30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Severance Amount</w:t>
            </w:r>
            <w:r>
              <w:rPr>
                <w:rFonts w:ascii="Times New Roman;serif" w:hAnsi="Times New Roman;serif"/>
                <w:b w:val="false"/>
                <w:color w:val="000000"/>
                <w:sz w:val="22"/>
              </w:rPr>
              <w:t>:</w:t>
            </w:r>
          </w:p>
        </w:tc>
        <w:tc>
          <w:tcPr>
            <w:tcW w:w="1305" w:type="dxa"/>
            <w:gridSpan w:val="3"/>
            <w:tcBorders>
              <w:top w:val="single" w:sz="6" w:space="0" w:color="000000"/>
              <w:left w:val="single" w:sz="6" w:space="0" w:color="000000"/>
              <w:right w:val="single" w:sz="4" w:space="0" w:color="000000"/>
            </w:tcBorders>
            <w:tcMar>
              <w:top w:w="30" w:type="dxa"/>
              <w:left w:w="75" w:type="dxa"/>
              <w:bottom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[TO COME]</w:t>
            </w:r>
          </w:p>
        </w:tc>
      </w:tr>
      <w:tr>
        <w:trPr/>
        <w:tc>
          <w:tcPr>
            <w:tcW w:w="342" w:type="dxa"/>
            <w:gridSpan w:val="3"/>
            <w:tcBorders>
              <w:top w:val="single" w:sz="6"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5</w:t>
            </w:r>
          </w:p>
        </w:tc>
        <w:tc>
          <w:tcPr>
            <w:tcW w:w="3075"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[Other]</w:t>
            </w:r>
            <w:r>
              <w:rPr>
                <w:rFonts w:ascii="Times New Roman;serif" w:hAnsi="Times New Roman;serif"/>
                <w:b w:val="false"/>
                <w:color w:val="000000"/>
                <w:sz w:val="22"/>
              </w:rPr>
              <w:t>:</w:t>
            </w:r>
          </w:p>
        </w:tc>
        <w:tc>
          <w:tcPr>
            <w:tcW w:w="1305" w:type="dxa"/>
            <w:gridSpan w:val="3"/>
            <w:tcBorders>
              <w:top w:val="single" w:sz="6" w:space="0" w:color="000000"/>
              <w:left w:val="single" w:sz="6"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[TO COME]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All amounts are subject to applicable payroll taxes and authorized withholdings.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0"/>
        </w:rPr>
        <w:t>Table to include full list of any severance payments on any other benefits (including treatment of equity awards) to be provided in connection with Employee’s separation.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97.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SECTION 7 OF THE DEFEND TRADE SECRETS ACT OF 2016</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 . .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8"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TRANSITION AGREEMENT</w:t>
      </w:r>
    </w:p>
    <w:p>
      <w:pPr>
        <w:pStyle w:val="TextBody"/>
        <w:bidi w:val="0"/>
        <w:spacing w:lineRule="auto" w:line="319" w:before="0" w:after="0"/>
        <w:ind w:left="0" w:right="0" w:firstLine="360"/>
        <w:jc w:val="both"/>
        <w:rPr/>
      </w:pPr>
      <w:r>
        <w:rPr>
          <w:rFonts w:ascii="Times New Roman;serif" w:hAnsi="Times New Roman;serif"/>
          <w:b w:val="false"/>
          <w:color w:val="000000"/>
          <w:sz w:val="22"/>
        </w:rPr>
        <w:t>This Transition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September 2, 2026 is by and among Patrick Thompson (the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QuoteLab, LLC, a Delaware limited liability company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MediaAlpha, Inc., a Delaware corporation and ultimate parent of the Company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w:t>
      </w:r>
    </w:p>
    <w:p>
      <w:pPr>
        <w:pStyle w:val="TextBody"/>
        <w:bidi w:val="0"/>
        <w:spacing w:before="0" w:after="0"/>
        <w:ind w:left="0" w:right="0" w:firstLine="360"/>
        <w:jc w:val="both"/>
        <w:rPr/>
      </w:pPr>
      <w:r>
        <w:rPr/>
      </w:r>
    </w:p>
    <w:p>
      <w:pPr>
        <w:pStyle w:val="TextBody"/>
        <w:bidi w:val="0"/>
        <w:spacing w:lineRule="auto" w:line="319"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This Agreement outlines the terms of Executive’s transition.</w:t>
      </w:r>
    </w:p>
    <w:p>
      <w:pPr>
        <w:pStyle w:val="TextBody"/>
        <w:bidi w:val="0"/>
        <w:spacing w:lineRule="auto" w:line="319" w:before="0" w:after="0"/>
        <w:ind w:left="0" w:right="0" w:hanging="360"/>
        <w:jc w:val="left"/>
        <w:rPr/>
      </w:pPr>
      <w:r>
        <w:rPr>
          <w:rFonts w:ascii="Times New Roman;serif" w:hAnsi="Times New Roman;serif"/>
          <w:b w:val="false"/>
          <w:color w:val="000000"/>
          <w:sz w:val="22"/>
        </w:rPr>
        <w:t>1.Executive’s last day as Chief Financial Officer and Treasurer of the Company and Parent is October 1, 2026 (“</w:t>
      </w:r>
      <w:r>
        <w:rPr>
          <w:rFonts w:ascii="Times New Roman;serif" w:hAnsi="Times New Roman;serif"/>
          <w:b w:val="false"/>
          <w:color w:val="000000"/>
          <w:sz w:val="22"/>
          <w:u w:val="single"/>
        </w:rPr>
        <w:t>Transition Date</w:t>
      </w:r>
      <w:r>
        <w:rPr>
          <w:color w:val="000000"/>
        </w:rPr>
        <w:t>”</w:t>
      </w:r>
      <w:r>
        <w:rPr>
          <w:rFonts w:ascii="Times New Roman;serif" w:hAnsi="Times New Roman;serif"/>
          <w:b w:val="false"/>
          <w:color w:val="000000"/>
          <w:sz w:val="22"/>
        </w:rPr>
        <w:t>).</w:t>
      </w:r>
    </w:p>
    <w:p>
      <w:pPr>
        <w:pStyle w:val="TextBody"/>
        <w:bidi w:val="0"/>
        <w:spacing w:lineRule="auto" w:line="319" w:before="0" w:after="0"/>
        <w:ind w:left="0" w:right="0" w:hanging="360"/>
        <w:jc w:val="left"/>
        <w:rPr/>
      </w:pPr>
      <w:r>
        <w:rPr>
          <w:rFonts w:ascii="Times New Roman;serif" w:hAnsi="Times New Roman;serif"/>
          <w:b w:val="false"/>
          <w:color w:val="000000"/>
          <w:sz w:val="22"/>
        </w:rPr>
        <w:t>2.From the Transition Date to October 30, 2026 (“</w:t>
      </w:r>
      <w:r>
        <w:rPr>
          <w:rFonts w:ascii="Times New Roman;serif" w:hAnsi="Times New Roman;serif"/>
          <w:b w:val="false"/>
          <w:color w:val="000000"/>
          <w:sz w:val="22"/>
          <w:u w:val="single"/>
        </w:rPr>
        <w:t>Last Day</w:t>
      </w:r>
      <w:r>
        <w:rPr>
          <w:color w:val="000000"/>
        </w:rPr>
        <w:t>”</w:t>
      </w:r>
      <w:r>
        <w:rPr>
          <w:rFonts w:ascii="Times New Roman;serif" w:hAnsi="Times New Roman;serif"/>
          <w:b w:val="false"/>
          <w:color w:val="000000"/>
          <w:sz w:val="22"/>
        </w:rPr>
        <w:t>), Executive will continue to be employed by the Company with the title of Special Advisor, which will be a non-officer position to ensure an orderly transition of duties. Executive’s employment will end on the Last Day.</w:t>
      </w:r>
    </w:p>
    <w:p>
      <w:pPr>
        <w:pStyle w:val="TextBody"/>
        <w:bidi w:val="0"/>
        <w:spacing w:before="0" w:after="0"/>
        <w:jc w:val="left"/>
        <w:rPr/>
      </w:pPr>
      <w:r>
        <w:rPr/>
      </w:r>
    </w:p>
    <w:p>
      <w:pPr>
        <w:pStyle w:val="TextBody"/>
        <w:bidi w:val="0"/>
        <w:spacing w:lineRule="auto" w:line="319" w:before="0" w:after="0"/>
        <w:ind w:left="0" w:right="0" w:hanging="360"/>
        <w:jc w:val="left"/>
        <w:rPr/>
      </w:pPr>
      <w:r>
        <w:rPr>
          <w:rFonts w:ascii="Times New Roman;serif" w:hAnsi="Times New Roman;serif"/>
          <w:b w:val="false"/>
          <w:color w:val="000000"/>
          <w:sz w:val="22"/>
        </w:rPr>
        <w:t>3.Following Executive’s execution of the Company’s and Parent’s standard release agreement on the Last Day (the “</w:t>
      </w:r>
      <w:r>
        <w:rPr>
          <w:rFonts w:ascii="Times New Roman;serif" w:hAnsi="Times New Roman;serif"/>
          <w:b w:val="false"/>
          <w:color w:val="000000"/>
          <w:sz w:val="22"/>
          <w:u w:val="single"/>
        </w:rPr>
        <w:t>Release</w:t>
      </w:r>
      <w:r>
        <w:rPr>
          <w:color w:val="000000"/>
        </w:rPr>
        <w:t>”</w:t>
      </w:r>
      <w:r>
        <w:rPr>
          <w:rFonts w:ascii="Times New Roman;serif" w:hAnsi="Times New Roman;serif"/>
          <w:b w:val="false"/>
          <w:color w:val="000000"/>
          <w:sz w:val="22"/>
        </w:rPr>
        <w:t>), Parent and Executive will enter into a consulting agreement (“</w:t>
      </w:r>
      <w:r>
        <w:rPr>
          <w:rFonts w:ascii="Times New Roman;serif" w:hAnsi="Times New Roman;serif"/>
          <w:b w:val="false"/>
          <w:color w:val="000000"/>
          <w:sz w:val="22"/>
          <w:u w:val="single"/>
        </w:rPr>
        <w:t>Consulting Agreement</w:t>
      </w:r>
      <w:r>
        <w:rPr>
          <w:color w:val="000000"/>
        </w:rPr>
        <w:t>”</w:t>
      </w:r>
      <w:r>
        <w:rPr>
          <w:rFonts w:ascii="Times New Roman;serif" w:hAnsi="Times New Roman;serif"/>
          <w:b w:val="false"/>
          <w:color w:val="000000"/>
          <w:sz w:val="22"/>
        </w:rPr>
        <w:t>) for the period beginning on the Last Day and ending on February 26, 2027. Pursuant to the Consulting Agreement, Executive will be available to provide strategic transitional advice to Parent while continuing to vest to previously granted Parent restricted stock units that will vest after the Last Day through February 26, 2027.</w:t>
      </w:r>
    </w:p>
    <w:p>
      <w:pPr>
        <w:pStyle w:val="TextBody"/>
        <w:bidi w:val="0"/>
        <w:spacing w:lineRule="auto" w:line="319"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4.Executive confirms that this separation from the Company and Parent is not related to any disagreement with the Company or Parent on any matter relating to Parent’s accounting, strategy, management, operations, policies, regulatory matters, or practices (financial or otherwise).</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The undersigned have executed this Agreement as of the date first above written.</w:t>
      </w:r>
    </w:p>
    <w:p>
      <w:pPr>
        <w:pStyle w:val="TextBody"/>
        <w:bidi w:val="0"/>
        <w:spacing w:lineRule="auto" w:line="319" w:before="0" w:after="0"/>
        <w:jc w:val="left"/>
        <w:rPr/>
      </w:pPr>
      <w:r>
        <w:rPr>
          <w:rFonts w:ascii="Times New Roman;serif" w:hAnsi="Times New Roman;serif"/>
          <w:b/>
          <w:color w:val="000000"/>
          <w:sz w:val="22"/>
        </w:rPr>
        <w:t>EXECUTIVE</w:t>
      </w:r>
      <w:r>
        <w:rPr>
          <w:rFonts w:ascii="Times New Roman;serif" w:hAnsi="Times New Roman;serif"/>
          <w:b w:val="false"/>
          <w:color w:val="000000"/>
          <w:sz w:val="22"/>
        </w:rPr>
        <w:t>:</w:t>
      </w:r>
    </w:p>
    <w:p>
      <w:pPr>
        <w:pStyle w:val="TextBody"/>
        <w:bidi w:val="0"/>
        <w:spacing w:lineRule="auto" w:line="319" w:before="0" w:after="0"/>
        <w:jc w:val="left"/>
        <w:rPr/>
      </w:pPr>
      <w:r>
        <w:rPr>
          <w:rFonts w:ascii="Times New Roman;serif" w:hAnsi="Times New Roman;serif"/>
          <w:b w:val="false"/>
          <w:color w:val="000000"/>
          <w:sz w:val="22"/>
          <w:u w:val="single"/>
        </w:rPr>
        <w:t>__/s/ Patrick R. Thompson</w:t>
      </w:r>
      <w:r>
        <w:rPr>
          <w:rFonts w:ascii="Times New Roman;serif" w:hAnsi="Times New Roman;serif"/>
          <w:b w:val="false"/>
          <w:color w:val="000000"/>
          <w:sz w:val="22"/>
        </w:rPr>
        <w:t>________</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Patrick Thompson</w:t>
      </w:r>
    </w:p>
    <w:p>
      <w:pPr>
        <w:pStyle w:val="TextBody"/>
        <w:bidi w:val="0"/>
        <w:spacing w:lineRule="auto" w:line="319" w:before="0" w:after="0"/>
        <w:ind w:left="0" w:right="0" w:firstLine="20"/>
        <w:jc w:val="left"/>
        <w:rPr>
          <w:rFonts w:ascii="Times New Roman;serif" w:hAnsi="Times New Roman;serif"/>
          <w:b/>
          <w:color w:val="000000"/>
          <w:sz w:val="22"/>
        </w:rPr>
      </w:pPr>
      <w:r>
        <w:rPr>
          <w:rFonts w:ascii="Times New Roman;serif" w:hAnsi="Times New Roman;serif"/>
          <w:b/>
          <w:color w:val="000000"/>
          <w:sz w:val="22"/>
        </w:rPr>
        <w:t>QUOTELAB, LLC</w:t>
      </w:r>
    </w:p>
    <w:p>
      <w:pPr>
        <w:pStyle w:val="TextBody"/>
        <w:bidi w:val="0"/>
        <w:spacing w:lineRule="auto" w:line="319" w:before="0" w:after="0"/>
        <w:ind w:left="0" w:right="0" w:hanging="180"/>
        <w:jc w:val="left"/>
        <w:rPr/>
      </w:pPr>
      <w:r>
        <w:rPr>
          <w:rFonts w:ascii="Times New Roman;serif" w:hAnsi="Times New Roman;serif"/>
          <w:b w:val="false"/>
          <w:color w:val="000000"/>
          <w:sz w:val="22"/>
        </w:rPr>
        <w:t>By: _</w:t>
      </w:r>
      <w:r>
        <w:rPr>
          <w:rFonts w:ascii="Times New Roman;serif" w:hAnsi="Times New Roman;serif"/>
          <w:b w:val="false"/>
          <w:color w:val="000000"/>
          <w:sz w:val="22"/>
          <w:u w:val="single"/>
        </w:rPr>
        <w:t>/s/ Steven Yi</w:t>
      </w:r>
      <w:r>
        <w:rPr>
          <w:rFonts w:ascii="Times New Roman;serif" w:hAnsi="Times New Roman;serif"/>
          <w:b w:val="false"/>
          <w:color w:val="000000"/>
          <w:sz w:val="22"/>
        </w:rPr>
        <w:t>_______________</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     Steven Yi</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Title: President and Chief Executive Officer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MEDIAALPHA, INC.</w:t>
      </w:r>
    </w:p>
    <w:p>
      <w:pPr>
        <w:pStyle w:val="TextBody"/>
        <w:bidi w:val="0"/>
        <w:spacing w:lineRule="auto" w:line="319" w:before="0" w:after="0"/>
        <w:jc w:val="left"/>
        <w:rPr/>
      </w:pPr>
      <w:r>
        <w:rPr>
          <w:rFonts w:ascii="Times New Roman;serif" w:hAnsi="Times New Roman;serif"/>
          <w:b w:val="false"/>
          <w:color w:val="000000"/>
          <w:sz w:val="22"/>
        </w:rPr>
        <w:t>By: __</w:t>
      </w:r>
      <w:r>
        <w:rPr>
          <w:rFonts w:ascii="Times New Roman;serif" w:hAnsi="Times New Roman;serif"/>
          <w:b w:val="false"/>
          <w:color w:val="000000"/>
          <w:sz w:val="22"/>
          <w:u w:val="single"/>
        </w:rPr>
        <w:t xml:space="preserve">/s/ Steven Yi </w:t>
      </w:r>
      <w:r>
        <w:rPr>
          <w:rFonts w:ascii="Times New Roman;serif" w:hAnsi="Times New Roman;serif"/>
          <w:b w:val="false"/>
          <w:color w:val="000000"/>
          <w:sz w:val="22"/>
        </w:rPr>
        <w:t>_____________</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     Steven Yi</w:t>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Title: 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jc w:val="center"/>
        <w:rPr>
          <w:rFonts w:ascii="Times New Roman;serif" w:hAnsi="Times New Roman;serif"/>
          <w:b/>
          <w:color w:val="000000"/>
          <w:sz w:val="28"/>
        </w:rPr>
      </w:pPr>
      <w:r>
        <w:rPr>
          <w:rFonts w:ascii="Times New Roman;serif" w:hAnsi="Times New Roman;serif"/>
          <w:b/>
          <w:color w:val="000000"/>
          <w:sz w:val="28"/>
        </w:rPr>
        <w:t>MediaAlpha Announces Chief Financial Officer Transition</w:t>
      </w:r>
    </w:p>
    <w:p>
      <w:pPr>
        <w:pStyle w:val="TextBody"/>
        <w:bidi w:val="0"/>
        <w:spacing w:lineRule="auto" w:line="319" w:before="0" w:after="200"/>
        <w:jc w:val="center"/>
        <w:rPr>
          <w:rFonts w:ascii="Times New Roman;serif" w:hAnsi="Times New Roman;serif"/>
          <w:b w:val="false"/>
          <w:i/>
          <w:color w:val="000000"/>
          <w:sz w:val="24"/>
        </w:rPr>
      </w:pPr>
      <w:r>
        <w:rPr>
          <w:rFonts w:ascii="Times New Roman;serif" w:hAnsi="Times New Roman;serif"/>
          <w:b w:val="false"/>
          <w:i/>
          <w:color w:val="000000"/>
          <w:sz w:val="24"/>
        </w:rPr>
        <w:t>Tigran Sinanyan, SVP of Finance and Former CFO, to Succeed Pat Thompson as CFO</w:t>
      </w:r>
    </w:p>
    <w:p>
      <w:pPr>
        <w:pStyle w:val="TextBody"/>
        <w:bidi w:val="0"/>
        <w:spacing w:lineRule="auto" w:line="319" w:before="0" w:after="360"/>
        <w:jc w:val="center"/>
        <w:rPr>
          <w:rFonts w:ascii="Times New Roman;serif" w:hAnsi="Times New Roman;serif"/>
          <w:b w:val="false"/>
          <w:i/>
          <w:color w:val="000000"/>
          <w:sz w:val="24"/>
        </w:rPr>
      </w:pPr>
      <w:r>
        <w:rPr>
          <w:rFonts w:ascii="Times New Roman;serif" w:hAnsi="Times New Roman;serif"/>
          <w:b w:val="false"/>
          <w:i/>
          <w:color w:val="000000"/>
          <w:sz w:val="24"/>
        </w:rPr>
        <w:t>Third Quarter 2026 Results Expected to Be At or Above the Top End of Previously Disclosed Guidance Ranges</w:t>
      </w:r>
    </w:p>
    <w:p>
      <w:pPr>
        <w:pStyle w:val="TextBody"/>
        <w:bidi w:val="0"/>
        <w:spacing w:lineRule="auto" w:line="319" w:before="0" w:after="200"/>
        <w:jc w:val="left"/>
        <w:rPr/>
      </w:pPr>
      <w:r>
        <w:rPr>
          <w:rFonts w:ascii="Times New Roman;serif" w:hAnsi="Times New Roman;serif"/>
          <w:b/>
          <w:color w:val="000000"/>
          <w:sz w:val="22"/>
        </w:rPr>
        <w:t xml:space="preserve">LOS ANGELES, September 3, 2026 (GLOBE NEWSWIRE) — </w:t>
      </w:r>
      <w:r>
        <w:rPr>
          <w:rFonts w:ascii="Times New Roman;serif" w:hAnsi="Times New Roman;serif"/>
          <w:b w:val="false"/>
          <w:color w:val="000000"/>
          <w:sz w:val="22"/>
        </w:rPr>
        <w:t>MediaAlpha, Inc. (NYSE: MAX) ("MediaAlpha" or the "Company"), the insurance industry’s leading programmatic customer acquisition platform, today announced that Pat Thompson will step down as Chief Financial Officer (CFO), effective October 1, 2026. Tigran Sinanyan, the Company’s Senior Vice President (SVP) of Finance, will succeed Mr. Thompson as CFO as of that date. Mr. Sinanyan served as MediaAlpha's CFO from 2015 to 2021, and as VP of Finance from 2012 to 2015, leading the finance team through a period of significant growth that included the Company's 2020 IPO. He rejoined the Company as SVP of Finance in July 2025.</w:t>
      </w:r>
    </w:p>
    <w:p>
      <w:pPr>
        <w:pStyle w:val="TextBody"/>
        <w:bidi w:val="0"/>
        <w:spacing w:lineRule="auto" w:line="319" w:before="0" w:after="200"/>
        <w:jc w:val="left"/>
        <w:rPr>
          <w:color w:val="000000"/>
        </w:rPr>
      </w:pPr>
      <w:r>
        <w:rPr>
          <w:color w:val="000000"/>
        </w:rPr>
        <w:t>“</w:t>
      </w:r>
      <w:r>
        <w:rPr>
          <w:rFonts w:ascii="Times New Roman;serif" w:hAnsi="Times New Roman;serif"/>
          <w:b w:val="false"/>
          <w:color w:val="000000"/>
          <w:sz w:val="22"/>
        </w:rPr>
        <w:t xml:space="preserve">On behalf of everyone at MediaAlpha, I want to thank Pat for his many contributions over the past five years,” said Steve Yi, CEO and Co-Founder of MediaAlpha. “Pat has been a key leader of our company, guiding the organization through a generational downturn in the P&amp;C insurance industry and helping to drive the record financial performance we are now delivering. He also built a strong financial organization that will support MediaAlpha’s robust growth for many years to come. I am personally grateful for Pat's steadfast partnership over these five years, and we wish him continued success in all that comes next. We are also very excited to welcome Tigran back into the CFO role. Tigran’s deep knowledge of our business, our partners and our industry, and his financial and business acumen, make him an ideal financial leader for MediaAlpha as we pursue our strategic growth agenda.” </w:t>
      </w:r>
    </w:p>
    <w:p>
      <w:pPr>
        <w:pStyle w:val="TextBody"/>
        <w:bidi w:val="0"/>
        <w:spacing w:lineRule="auto" w:line="319" w:before="0" w:after="200"/>
        <w:jc w:val="left"/>
        <w:rPr>
          <w:color w:val="000000"/>
        </w:rPr>
      </w:pPr>
      <w:r>
        <w:rPr>
          <w:color w:val="000000"/>
        </w:rPr>
        <w:t>“</w:t>
      </w:r>
      <w:r>
        <w:rPr>
          <w:rFonts w:ascii="Times New Roman;serif" w:hAnsi="Times New Roman;serif"/>
          <w:b w:val="false"/>
          <w:color w:val="000000"/>
          <w:sz w:val="22"/>
        </w:rPr>
        <w:t xml:space="preserve">It has been a privilege to serve as MediaAlpha’s CFO,” said Mr. Thompson. “I’m proud of the record results that our team has delivered, and I’m confident the Company is in excellent hands with Tigran. I am dedicated to ensuring a smooth handoff and continuing to support the company in the coming months.” </w:t>
      </w:r>
    </w:p>
    <w:p>
      <w:pPr>
        <w:pStyle w:val="TextBody"/>
        <w:bidi w:val="0"/>
        <w:spacing w:lineRule="auto" w:line="319" w:before="0" w:after="200"/>
        <w:jc w:val="left"/>
        <w:rPr>
          <w:color w:val="000000"/>
        </w:rPr>
      </w:pPr>
      <w:r>
        <w:rPr>
          <w:color w:val="000000"/>
        </w:rPr>
        <w:t>“</w:t>
      </w:r>
      <w:r>
        <w:rPr>
          <w:rFonts w:ascii="Times New Roman;serif" w:hAnsi="Times New Roman;serif"/>
          <w:b w:val="false"/>
          <w:color w:val="000000"/>
          <w:sz w:val="22"/>
        </w:rPr>
        <w:t xml:space="preserve">MediaAlpha is an extraordinary company, and having been part of its executive leadership in both operations and finance, I’ve had the privilege of helping build and scale the business from its early days," said Mr. Sinanyan. "During my tenure at MediaAlpha, I have gained a deep, end-to-end understanding of what makes our programmatic platform and partner relationships successful, and as CFO I look forward to working closely with the broader leadership team to continue driving disciplined growth and long-term value for our shareholders.” </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Mr. Thompson’s last day will be October 30, 2026, and he will continue as a consultant to the Company through February 2027 to ensure an effective transition of duties.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Updated Third Quarter 2026 Guidance</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MediaAlpha also provided an update regarding its expectations for the third quarter of 2026. The Company now expects third quarter 2026 Revenue, Contribution, and Adjusted EBITDA to be at or above the top end of the previously disclosed guidance ranges included in its second quarter earnings release issued on July 29, 2026. Please refer to the Company’s second quarter earnings release for such guidance ranges and information regarding such financial measures.</w:t>
      </w:r>
    </w:p>
    <w:p>
      <w:pPr>
        <w:pStyle w:val="TextBody"/>
        <w:bidi w:val="0"/>
        <w:spacing w:lineRule="auto" w:line="319" w:before="200" w:after="120"/>
        <w:jc w:val="left"/>
        <w:rPr>
          <w:rFonts w:ascii="Times New Roman;serif" w:hAnsi="Times New Roman;serif"/>
          <w:b/>
          <w:color w:val="000000"/>
          <w:sz w:val="22"/>
        </w:rPr>
      </w:pPr>
      <w:r>
        <w:rPr>
          <w:rFonts w:ascii="Times New Roman;serif" w:hAnsi="Times New Roman;serif"/>
          <w:b/>
          <w:color w:val="000000"/>
          <w:sz w:val="22"/>
        </w:rPr>
        <w:t>About MediaAlpha</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We believe we are the insurance industry’s leading programmatic customer acquisition platform. With more than 1,150 active partners, in addition to our agent partners, we connect insurance carriers with online shoppers and generated over 141 million Consumer Referrals in 2025. Our programmatic advertising technology powered $2.2 billion in spend in 2025 on brand, comparison, and metasearch sites across property &amp; casualty insurance, health insurance, life insurance, and other industries. For more information, please visit www.mediaalpha.com.</w:t>
      </w:r>
    </w:p>
    <w:p>
      <w:pPr>
        <w:pStyle w:val="TextBody"/>
        <w:bidi w:val="0"/>
        <w:spacing w:lineRule="auto" w:line="319" w:before="200" w:after="12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forward-looking statements within the meaning of the Private Securities Litigation Reform Act of 1995, including statements regarding the Company’s management transition, its expectations regarding its business and future performance, and its expectations regarding the Company’s financial guidance for the third quarter. Words such as “will,” “expect,” “anticipate,” “believe,” “intend,” and similar expressions are intended to identify forward-looking statements. These forward-looking statements are not historical facts, and are based on current expectations, estimates and projections about our industry, management’s beliefs and certain assumptions made by management, many of which, by their nature, are inherently uncertain and beyond the Company’s control. Accordingly, the Company cautions you that any such forward-looking statements are not guarantees of future performance and are subject to risks and uncertainties that could cause actual results to differ materially, including those described in the Company’s filings with the Securities and Exchange Commission, including its most recent Annual Report on Form 10-K and Quarterly Reports on Form 10-Q. The Company undertakes no obligation to update any forward-looking statements after the date of this press release, except as required by law. </w:t>
      </w:r>
    </w:p>
    <w:p>
      <w:pPr>
        <w:pStyle w:val="TextBody"/>
        <w:bidi w:val="0"/>
        <w:spacing w:lineRule="auto" w:line="319" w:before="200" w:after="60"/>
        <w:jc w:val="left"/>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Investors@mediaalpha.com</w:t>
      </w:r>
    </w:p>
    <w:p>
      <w:pPr>
        <w:pStyle w:val="TextBody"/>
        <w:bidi w:val="0"/>
        <w:spacing w:lineRule="auto" w:line="319" w:before="0" w:after="60"/>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PR@mediaalpha.com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15097</Words>
  <Characters>82622</Characters>
  <CharactersWithSpaces>97486</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