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UNITED STATES</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w:t>
      </w:r>
    </w:p>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REPORT</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PURSUANT TO SECTION 13 OR 15(d) OF THE SECURITIES EXCHANGE ACT OF 1934</w:t>
      </w:r>
    </w:p>
    <w:p>
      <w:pPr>
        <w:pStyle w:val="TextBody"/>
        <w:bidi w:val="0"/>
        <w:spacing w:lineRule="auto" w:line="288" w:before="240" w:after="283"/>
        <w:jc w:val="center"/>
        <w:rPr/>
      </w:pPr>
      <w:r>
        <w:rPr>
          <w:rFonts w:ascii="Times New Roman;serif" w:hAnsi="Times New Roman;serif"/>
          <w:b/>
          <w:color w:val="000000"/>
          <w:sz w:val="20"/>
          <w:shd w:fill="FFFFFF" w:val="clear"/>
        </w:rPr>
        <w:t>Date of Report (Date of earliest event reported</w:t>
      </w:r>
      <w:r>
        <w:rPr>
          <w:rFonts w:ascii="Times New Roman;serif" w:hAnsi="Times New Roman;serif"/>
          <w:b/>
          <w:color w:val="000000"/>
          <w:sz w:val="20"/>
        </w:rPr>
        <w:t>): July 29, 2026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w:t>
      </w:r>
    </w:p>
    <w:p>
      <w:pPr>
        <w:pStyle w:val="TextBody"/>
        <w:bidi w:val="0"/>
        <w:spacing w:lineRule="auto" w:line="288" w:before="24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MediaAlpha,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(Exact Name of Registrant as Specified in Its Charter)</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_____________________________</w:t>
      </w:r>
    </w:p>
    <w:tbl>
      <w:tblPr>
        <w:tblW w:w="4617" w:type="dxa"/>
        <w:jc w:val="center"/>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001-39671</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85-1854133</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3973" w:type="dxa"/>
        <w:jc w:val="left"/>
        <w:tblInd w:w="0" w:type="dxa"/>
        <w:tblLayout w:type="fixed"/>
        <w:tblCellMar>
          <w:top w:w="28" w:type="dxa"/>
          <w:left w:w="28" w:type="dxa"/>
          <w:bottom w:w="28" w:type="dxa"/>
          <w:right w:w="28" w:type="dxa"/>
        </w:tblCellMar>
      </w:tblPr>
      <w:tblGrid>
        <w:gridCol w:w="1102"/>
        <w:gridCol w:w="968"/>
        <w:gridCol w:w="974"/>
        <w:gridCol w:w="272"/>
        <w:gridCol w:w="272"/>
        <w:gridCol w:w="385"/>
      </w:tblGrid>
      <w:tr>
        <w:trPr/>
        <w:tc>
          <w:tcPr>
            <w:tcW w:w="11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700 South Flower Street</w:t>
            </w:r>
            <w:r>
              <w:rPr>
                <w:rFonts w:ascii="Arial;sans-serif" w:hAnsi="Arial;sans-serif"/>
                <w:b w:val="false"/>
                <w:color w:val="000000"/>
                <w:sz w:val="24"/>
              </w:rPr>
              <w:t xml:space="preserve">, </w:t>
            </w:r>
            <w:r>
              <w:rPr>
                <w:rFonts w:ascii="Times New Roman;serif" w:hAnsi="Times New Roman;serif"/>
                <w:b/>
                <w:color w:val="000000"/>
                <w:sz w:val="20"/>
              </w:rPr>
              <w:t>Suite 640</w:t>
            </w:r>
          </w:p>
          <w:p>
            <w:pPr>
              <w:pStyle w:val="TableContents"/>
              <w:bidi w:val="0"/>
              <w:spacing w:lineRule="auto" w:line="288" w:before="0" w:after="0"/>
              <w:jc w:val="center"/>
              <w:rPr/>
            </w:pPr>
            <w:r>
              <w:rPr>
                <w:rFonts w:ascii="Times New Roman;serif" w:hAnsi="Times New Roman;serif"/>
                <w:b/>
                <w:color w:val="000000"/>
                <w:sz w:val="20"/>
              </w:rPr>
              <w:t>Los Angeles</w:t>
            </w:r>
            <w:r>
              <w:rPr>
                <w:rFonts w:ascii="Arial;sans-serif" w:hAnsi="Arial;sans-serif"/>
                <w:b w:val="false"/>
                <w:color w:val="000000"/>
                <w:sz w:val="24"/>
              </w:rPr>
              <w:t xml:space="preserve">, </w:t>
            </w:r>
            <w:r>
              <w:rPr>
                <w:rFonts w:ascii="Times New Roman;serif" w:hAnsi="Times New Roman;serif"/>
                <w:b/>
                <w:color w:val="000000"/>
                <w:sz w:val="20"/>
              </w:rPr>
              <w:t>California</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90017</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(213) 316-6256</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(Registrant’s telephone number, including area code)</w:t>
      </w:r>
    </w:p>
    <w:p>
      <w:pPr>
        <w:pStyle w:val="TextBody"/>
        <w:bidi w:val="0"/>
        <w:spacing w:lineRule="auto" w:line="288" w:before="1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(Former name or former address, if changed since last report)</w:t>
      </w:r>
    </w:p>
    <w:tbl>
      <w:tblPr>
        <w:tblW w:w="10205" w:type="dxa"/>
        <w:jc w:val="left"/>
        <w:tblInd w:w="0" w:type="dxa"/>
        <w:tblLayout w:type="fixed"/>
        <w:tblCellMar>
          <w:top w:w="28" w:type="dxa"/>
          <w:left w:w="28" w:type="dxa"/>
          <w:bottom w:w="28" w:type="dxa"/>
          <w:right w:w="28" w:type="dxa"/>
        </w:tblCellMar>
      </w:tblPr>
      <w:tblGrid>
        <w:gridCol w:w="124"/>
        <w:gridCol w:w="109"/>
        <w:gridCol w:w="109"/>
        <w:gridCol w:w="3001"/>
        <w:gridCol w:w="2843"/>
        <w:gridCol w:w="40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40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w:t>
            </w:r>
            <w:r>
              <w:rPr>
                <w:rFonts w:ascii="Times New Roman;serif" w:hAnsi="Times New Roman;serif"/>
                <w:b w:val="false"/>
                <w:color w:val="000000"/>
                <w:sz w:val="20"/>
              </w:rPr>
              <w:t>General Instruction A.2. below):</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488" w:type="dxa"/>
        <w:jc w:val="left"/>
        <w:tblInd w:w="0" w:type="dxa"/>
        <w:tblLayout w:type="fixed"/>
        <w:tblCellMar>
          <w:top w:w="28" w:type="dxa"/>
          <w:left w:w="28" w:type="dxa"/>
          <w:bottom w:w="28" w:type="dxa"/>
          <w:right w:w="28" w:type="dxa"/>
        </w:tblCellMar>
      </w:tblPr>
      <w:tblGrid>
        <w:gridCol w:w="1198"/>
        <w:gridCol w:w="1052"/>
        <w:gridCol w:w="1065"/>
        <w:gridCol w:w="109"/>
        <w:gridCol w:w="109"/>
        <w:gridCol w:w="109"/>
        <w:gridCol w:w="564"/>
        <w:gridCol w:w="564"/>
        <w:gridCol w:w="566"/>
        <w:gridCol w:w="109"/>
        <w:gridCol w:w="109"/>
        <w:gridCol w:w="109"/>
        <w:gridCol w:w="1118"/>
        <w:gridCol w:w="1118"/>
        <w:gridCol w:w="1589"/>
      </w:tblGrid>
      <w:tr>
        <w:trPr/>
        <w:tc>
          <w:tcPr>
            <w:tcW w:w="119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3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$0.01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ableContents"/>
              <w:bidi w:val="0"/>
              <w:spacing w:lineRule="auto" w:line="240" w:before="180" w:after="283"/>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ableContents"/>
              <w:bidi w:val="0"/>
              <w:spacing w:lineRule="auto" w:line="240"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2.02 – Results of Operations and Financial Condition.</w:t>
      </w:r>
    </w:p>
    <w:p>
      <w:pPr>
        <w:pStyle w:val="TextBody"/>
        <w:bidi w:val="0"/>
        <w:spacing w:lineRule="auto" w:line="288" w:before="18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29, 2026, MediaAlpha, Inc. (“MediaAlpha” or the “Company”) issued a press release announcing its financial results as of and for the second quarter ended June 30, 2026, and its financial outlook for the third quarter and full year of 2026, and posted certain supplemental financial information to the Investor Relations section of its website. Copies of the press release and investor supplement are furnished as Exhibit 99.1 and Exhibit 99.2, respectively, to this Form 8-K and are incorporated by reference herein.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information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MediaAlpha refers to non-GAAP financial information in the press release and investor supplement. A reconciliation of these non-GAAP financial measures to the comparable GAAP financial measures is contained in each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 Financial Statements and Exhibits.</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 Exhibits</w:t>
      </w:r>
    </w:p>
    <w:tbl>
      <w:tblPr>
        <w:tblW w:w="7395" w:type="dxa"/>
        <w:jc w:val="left"/>
        <w:tblInd w:w="0" w:type="dxa"/>
        <w:tblLayout w:type="fixed"/>
        <w:tblCellMar>
          <w:top w:w="28" w:type="dxa"/>
          <w:left w:w="28" w:type="dxa"/>
          <w:bottom w:w="28" w:type="dxa"/>
          <w:right w:w="28" w:type="dxa"/>
        </w:tblCellMar>
      </w:tblPr>
      <w:tblGrid>
        <w:gridCol w:w="272"/>
        <w:gridCol w:w="239"/>
        <w:gridCol w:w="240"/>
        <w:gridCol w:w="1942"/>
        <w:gridCol w:w="1942"/>
        <w:gridCol w:w="2760"/>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w:t>
            </w:r>
          </w:p>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maxq22026-earningsreleasex.htm">
              <w:r>
                <w:rPr>
                  <w:rStyle w:val="InternetLink"/>
                  <w:rFonts w:ascii="Times New Roman;serif" w:hAnsi="Times New Roman;serif"/>
                  <w:b w:val="false"/>
                  <w:color w:val="0000FF"/>
                  <w:sz w:val="20"/>
                  <w:u w:val="single"/>
                </w:rPr>
                <w:t>Press release dated July 29, 2026.</w:t>
              </w:r>
            </w:hyperlink>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maxq22026-investorsuppleme.htm">
              <w:r>
                <w:rPr>
                  <w:rStyle w:val="InternetLink"/>
                  <w:rFonts w:ascii="Times New Roman;serif" w:hAnsi="Times New Roman;serif"/>
                  <w:b w:val="false"/>
                  <w:color w:val="0000FF"/>
                  <w:sz w:val="20"/>
                  <w:u w:val="single"/>
                </w:rPr>
                <w:t>Investor Supplement dated July 29, 2026.</w:t>
              </w:r>
            </w:hyperlink>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5518" w:type="dxa"/>
        <w:jc w:val="left"/>
        <w:tblInd w:w="0" w:type="dxa"/>
        <w:tblLayout w:type="fixed"/>
        <w:tblCellMar>
          <w:top w:w="28" w:type="dxa"/>
          <w:left w:w="28" w:type="dxa"/>
          <w:bottom w:w="28" w:type="dxa"/>
          <w:right w:w="28" w:type="dxa"/>
        </w:tblCellMar>
      </w:tblPr>
      <w:tblGrid>
        <w:gridCol w:w="618"/>
        <w:gridCol w:w="544"/>
        <w:gridCol w:w="547"/>
        <w:gridCol w:w="170"/>
        <w:gridCol w:w="170"/>
        <w:gridCol w:w="170"/>
        <w:gridCol w:w="270"/>
        <w:gridCol w:w="270"/>
        <w:gridCol w:w="270"/>
        <w:gridCol w:w="724"/>
        <w:gridCol w:w="724"/>
        <w:gridCol w:w="104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MediaAlpha,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B. Coyne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B. Coyne</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&amp;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MEDIAALPHA ANNOUNCES SECOND QUARTER 2026</w:t>
      </w:r>
    </w:p>
    <w:p>
      <w:pPr>
        <w:pStyle w:val="TextBody"/>
        <w:bidi w:val="0"/>
        <w:spacing w:lineRule="auto" w:line="288" w:before="0" w:after="260"/>
        <w:jc w:val="center"/>
        <w:rPr>
          <w:rFonts w:ascii="Times New Roman;serif" w:hAnsi="Times New Roman;serif"/>
          <w:b/>
          <w:color w:val="000000"/>
          <w:sz w:val="26"/>
        </w:rPr>
      </w:pPr>
      <w:r>
        <w:rPr>
          <w:rFonts w:ascii="Times New Roman;serif" w:hAnsi="Times New Roman;serif"/>
          <w:b/>
          <w:color w:val="000000"/>
          <w:sz w:val="26"/>
        </w:rPr>
        <w:t>FINANCIAL RESULTS</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 xml:space="preserve">Second Quarter Revenue Growth of 26%; </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Record Revenue of $316.9 million</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i/>
          <w:color w:val="000000"/>
          <w:sz w:val="22"/>
        </w:rPr>
        <w:t>Second Quarter Net Income of $41.8 million; Adjusted EBITDA</w:t>
      </w:r>
      <w:r>
        <w:rPr>
          <w:rFonts w:ascii="Times New Roman;serif" w:hAnsi="Times New Roman;serif"/>
          <w:b/>
          <w:i/>
          <w:color w:val="000000"/>
          <w:sz w:val="13"/>
        </w:rPr>
        <w:t>(1)</w:t>
      </w:r>
      <w:r>
        <w:rPr>
          <w:rFonts w:ascii="Times New Roman;serif" w:hAnsi="Times New Roman;serif"/>
          <w:b/>
          <w:i/>
          <w:color w:val="000000"/>
          <w:sz w:val="22"/>
        </w:rPr>
        <w:t>of $29.3 million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Repurchased over $41 million of stock during the First Half of 2026</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Los Angeles, CA (July 29, 2026) – MediaAlpha, Inc. (NYSE: MAX) ("MediaAlpha" or the "Company"), today announced its financial results for the second quarter ended June 30,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We delivered record second-quarter results as demand continued to broaden across our marketplace,” said Steve Yi, CEO of MediaAlpha. “Quarter after quarter, more of our carrier partners are unlocking advertising spend and leaning further into our marketplace. Looking to the future, the continued shift to digital advertising, ongoing migration of commission dollars to advertising spend, and our industry-leading scale position us well to continue to gain share in an attractive and growing market.”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MediaAlpha CFO Pat Thompson added, “This quarter, we continued to deploy capital to drive long-term shareholder value. In June, we repurchased a portion of our TRA liability, which had a book value of $69 million, for $31 million. We also repurchased $20 million of stock during the quarter, bringing our cumulative stock repurchases to $88 million over the last year.”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Second Quarter 2026 Financial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Revenue of $316.9 million, an increase of 26% year over year;</w:t>
      </w:r>
    </w:p>
    <w:p>
      <w:pPr>
        <w:pStyle w:val="TextBody"/>
        <w:bidi w:val="0"/>
        <w:spacing w:lineRule="auto" w:line="288" w:before="0" w:after="0"/>
        <w:ind w:left="0" w:right="0" w:hanging="360"/>
        <w:jc w:val="left"/>
        <w:rPr/>
      </w:pPr>
      <w:r>
        <w:rPr>
          <w:strike/>
          <w:color w:val="000000"/>
        </w:rPr>
        <w:t>•</w:t>
      </w:r>
      <w:r>
        <w:rPr>
          <w:rFonts w:ascii="Times New Roman;serif" w:hAnsi="Times New Roman;serif"/>
          <w:b w:val="false"/>
          <w:color w:val="000000"/>
          <w:sz w:val="22"/>
        </w:rPr>
        <w:t>Gross margin of 14.3%, compared with 15.0% in the second quarter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Contribution Margin</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of 14.9%, compared with 15.8% in the second quarter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Net income was $41.8 million, compared with a net loss of $(22.5) million in the second quarter of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Adjusted EBITDA</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was $29.3 million, compared with $24.5 million in the second quarter of 2025;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Repurchased approximately 2.2 million shares for $20 million, bringing cumulative repurchases under the Company's $100 million share repurchase program to 5.4 million shares.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13"/>
        </w:rPr>
        <w:t>(1)</w:t>
      </w:r>
      <w:r>
        <w:rPr>
          <w:rFonts w:ascii="Times New Roman;serif" w:hAnsi="Times New Roman;serif"/>
          <w:b w:val="false"/>
          <w:i/>
          <w:color w:val="000000"/>
          <w:sz w:val="20"/>
        </w:rPr>
        <w:t>A reconciliation of GAAP to Non-GAAP financial measures has been provided at the end of this press release. An explanation of these measures is also included below under the heading “Non-GAAP Financial Measures.”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60"/>
        <w:jc w:val="left"/>
        <w:rPr>
          <w:rFonts w:ascii="Times New Roman;serif" w:hAnsi="Times New Roman;serif"/>
          <w:b/>
          <w:color w:val="000000"/>
          <w:sz w:val="22"/>
        </w:rPr>
      </w:pPr>
      <w:r>
        <w:rPr>
          <w:rFonts w:ascii="Times New Roman;serif" w:hAnsi="Times New Roman;serif"/>
          <w:b/>
          <w:color w:val="000000"/>
          <w:sz w:val="22"/>
        </w:rPr>
        <w:t>Financial Outlook</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Our guidance for the third quarter of 2026 reflects continued strength in our Property &amp; Casualty (P&amp;C) insurance vertical, driven by strong carrier growth investment and continued share gains. We expect our Health insurance vertical to account for approximately 1% of revenue.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 the third quarter of 2026, MediaAlpha currently expects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Revenue between $330 million - $355 million, representing a 12% year-over-year increase at the midpoint of the guidance range.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Contribution between $51.5 million - $54.5 million, representing a 16% year-over-year increase at the midpoint of the guidance range.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Adjusted EBITDA between $32.0 million - $35.0 million, representing a 15% year-over-year increase at the midpoint of the guidance range, including an approximately $1 million year-over-year decline in Contribution from under-65 Health. Excluding under-65 Health, we expect Contribution to increase by 20% year over year and Adjusted EBITDA to increase by 21% year over year at the guidance midpoints.</w:t>
      </w:r>
    </w:p>
    <w:p>
      <w:pPr>
        <w:pStyle w:val="TextBody"/>
        <w:bidi w:val="0"/>
        <w:spacing w:lineRule="auto" w:line="288" w:before="240" w:after="240"/>
        <w:jc w:val="left"/>
        <w:rPr/>
      </w:pPr>
      <w:r>
        <w:rPr>
          <w:rFonts w:ascii="Times New Roman;serif" w:hAnsi="Times New Roman;serif"/>
          <w:b w:val="false"/>
          <w:color w:val="000000"/>
          <w:sz w:val="22"/>
        </w:rPr>
        <w:t>For the full year, we continue to expect to generate between $90 million - $100 million in free cash flow</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and expect to complete the vast majority of the $45 million remaining under our share repurchase program by the end of 2026.</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With respect to the Company’s projections of Adjusted EBITDA and Contribution under “Financial Outlook,” MediaAlpha is not providing a reconciliation of Adjusted EBITDA to net income (loss), or of Contribution to gross profit, because the Company is unable to predict with reasonable certainty the reconciling items that may affect the corresponding GAAP measures without unreasonable effort. These reconciling items are uncertain, depend on various factors and could significantly impact, either individually or in the aggregate, the corresponding GAAP measures for the applicable period.</w:t>
      </w:r>
    </w:p>
    <w:p>
      <w:pPr>
        <w:pStyle w:val="TextBody"/>
        <w:bidi w:val="0"/>
        <w:spacing w:lineRule="auto" w:line="28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For a detailed explanation of the Company’s non-GAAP measures, please refer to the appendix section of this press release. </w:t>
      </w:r>
    </w:p>
    <w:p>
      <w:pPr>
        <w:pStyle w:val="TextBody"/>
        <w:bidi w:val="0"/>
        <w:spacing w:before="0" w:after="0"/>
        <w:jc w:val="left"/>
        <w:rPr/>
      </w:pPr>
      <w:r>
        <w:rPr/>
      </w:r>
    </w:p>
    <w:p>
      <w:pPr>
        <w:pStyle w:val="TextBody"/>
        <w:bidi w:val="0"/>
        <w:spacing w:before="0" w:after="60"/>
        <w:jc w:val="left"/>
        <w:rPr/>
      </w:pPr>
      <w:r>
        <w:rPr/>
      </w:r>
    </w:p>
    <w:p>
      <w:pPr>
        <w:pStyle w:val="TextBody"/>
        <w:bidi w:val="0"/>
        <w:spacing w:lineRule="auto" w:line="319"/>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Free cash flow is the Company's cash flow from operating activities less capital expenditures.</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rFonts w:ascii="Times New Roman;serif" w:hAnsi="Times New Roman;serif"/>
          <w:b/>
          <w:color w:val="000000"/>
          <w:sz w:val="22"/>
        </w:rPr>
      </w:pPr>
      <w:r>
        <w:rPr>
          <w:rFonts w:ascii="Times New Roman;serif" w:hAnsi="Times New Roman;serif"/>
          <w:b/>
          <w:color w:val="000000"/>
          <w:sz w:val="22"/>
        </w:rPr>
        <w:t>Conference Call Information</w:t>
      </w:r>
    </w:p>
    <w:p>
      <w:pPr>
        <w:pStyle w:val="TextBody"/>
        <w:bidi w:val="0"/>
        <w:spacing w:lineRule="auto" w:line="288" w:before="0" w:after="240"/>
        <w:jc w:val="left"/>
        <w:rPr/>
      </w:pPr>
      <w:r>
        <w:rPr>
          <w:rFonts w:ascii="Times New Roman;serif" w:hAnsi="Times New Roman;serif"/>
          <w:b w:val="false"/>
          <w:color w:val="000000"/>
          <w:sz w:val="22"/>
        </w:rPr>
        <w:t xml:space="preserve">MediaAlpha will host a Q&amp;A conference call today to discuss the Company's second quarter 2026 results and its financial outlook for the third quarter and full year of 2026 at 2:00 p.m. Pacific Time (5:00 p.m. Eastern Time). A live audio webcast of the call will be available on the MediaAlpha Investor Relations website at </w:t>
      </w:r>
      <w:r>
        <w:rPr>
          <w:rFonts w:ascii="Times New Roman;serif" w:hAnsi="Times New Roman;serif"/>
          <w:b w:val="false"/>
          <w:color w:val="000000"/>
          <w:sz w:val="22"/>
          <w:u w:val="single"/>
        </w:rPr>
        <w:t>https://investors.mediaalpha.com</w:t>
      </w:r>
      <w:r>
        <w:rPr>
          <w:rFonts w:ascii="Times New Roman;serif" w:hAnsi="Times New Roman;serif"/>
          <w:b w:val="false"/>
          <w:color w:val="000000"/>
          <w:sz w:val="22"/>
        </w:rPr>
        <w:t xml:space="preserve">. To register for the webcast, click here. Participants may also dial-in, toll-free, at (800) 715-9871 or (646) 307-1963, with passcode 9381846. An audio replay of the conference call will be available following the call and available on the MediaAlpha Investor Relations website at </w:t>
      </w:r>
      <w:r>
        <w:rPr>
          <w:rFonts w:ascii="Times New Roman;serif" w:hAnsi="Times New Roman;serif"/>
          <w:b w:val="false"/>
          <w:color w:val="000000"/>
          <w:sz w:val="22"/>
          <w:u w:val="single"/>
        </w:rPr>
        <w:t>https://investors.mediaalpha.com</w:t>
      </w:r>
      <w:r>
        <w:rPr>
          <w:rFonts w:ascii="Times New Roman;serif" w:hAnsi="Times New Roman;serif"/>
          <w:b w:val="false"/>
          <w:color w:val="000000"/>
          <w:sz w:val="22"/>
        </w:rPr>
        <w:t>.</w:t>
      </w:r>
    </w:p>
    <w:p>
      <w:pPr>
        <w:pStyle w:val="TextBody"/>
        <w:bidi w:val="0"/>
        <w:spacing w:lineRule="auto" w:line="288" w:before="0" w:after="0"/>
        <w:jc w:val="left"/>
        <w:rPr/>
      </w:pPr>
      <w:r>
        <w:rPr>
          <w:rFonts w:ascii="Times New Roman;serif" w:hAnsi="Times New Roman;serif"/>
          <w:b w:val="false"/>
          <w:color w:val="000000"/>
          <w:sz w:val="22"/>
        </w:rPr>
        <w:t xml:space="preserve">The Company has also posted </w:t>
      </w:r>
      <w:hyperlink w:anchor="maxq22026-investorsuppleme.htm">
        <w:r>
          <w:rPr>
            <w:rStyle w:val="InternetLink"/>
            <w:rFonts w:ascii="Times New Roman;serif" w:hAnsi="Times New Roman;serif"/>
            <w:b w:val="false"/>
            <w:color w:val="0000FF"/>
            <w:sz w:val="22"/>
            <w:u w:val="single"/>
          </w:rPr>
          <w:t>investor supplemental materials</w:t>
        </w:r>
      </w:hyperlink>
      <w:r>
        <w:rPr>
          <w:color w:val="000000"/>
        </w:rPr>
        <w:t xml:space="preserve"> </w:t>
      </w:r>
      <w:r>
        <w:rPr>
          <w:rFonts w:ascii="Times New Roman;serif" w:hAnsi="Times New Roman;serif"/>
          <w:b w:val="false"/>
          <w:color w:val="000000"/>
          <w:sz w:val="22"/>
        </w:rPr>
        <w:t xml:space="preserve">on its investor relations website. MediaAlpha has used, and intends to continue to use, its investor relations website at </w:t>
      </w:r>
      <w:r>
        <w:rPr>
          <w:rFonts w:ascii="Times New Roman;serif" w:hAnsi="Times New Roman;serif"/>
          <w:b w:val="false"/>
          <w:color w:val="000000"/>
          <w:sz w:val="22"/>
          <w:u w:val="single"/>
        </w:rPr>
        <w:t>https://investors.mediaalpha.com</w:t>
      </w:r>
      <w:r>
        <w:rPr>
          <w:color w:val="000000"/>
        </w:rPr>
        <w:t xml:space="preserve"> </w:t>
      </w:r>
      <w:r>
        <w:rPr>
          <w:rFonts w:ascii="Times New Roman;serif" w:hAnsi="Times New Roman;serif"/>
          <w:b w:val="false"/>
          <w:color w:val="000000"/>
          <w:sz w:val="22"/>
        </w:rPr>
        <w:t>as a means of disclosing material nonpublic information and for complying with its disclosure obligations under Regulation FD.</w:t>
      </w:r>
    </w:p>
    <w:p>
      <w:pPr>
        <w:pStyle w:val="TextBody"/>
        <w:bidi w:val="0"/>
        <w:spacing w:lineRule="auto" w:line="288" w:before="240" w:after="6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press release contains forward-looking statements within the meaning of the Private Securities Litigation Reform Act of 1995, including without limitation statements regarding more of our carrier partners unlocking advertising spend and leaning further into our marketplace; our expectation that carriers will continue to shift to digital advertising and increase their advertising spend; our belief that we are well positioned to continue to gain share in an attractive and growing market; our expectations regarding the timing and amounts of share repurchases; and our financial outlook for the third quarter and full year of 2026. These forward-looking statements reflect our current views with respect to, among other things, future events and our financial performance.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240" w:after="240"/>
        <w:jc w:val="both"/>
        <w:rPr>
          <w:rFonts w:ascii="Times New Roman;serif" w:hAnsi="Times New Roman;serif"/>
          <w:b w:val="false"/>
          <w:color w:val="000000"/>
          <w:sz w:val="22"/>
        </w:rPr>
      </w:pPr>
      <w:r>
        <w:rPr>
          <w:rFonts w:ascii="Times New Roman;serif" w:hAnsi="Times New Roman;serif"/>
          <w:b w:val="false"/>
          <w:color w:val="000000"/>
          <w:sz w:val="22"/>
        </w:rPr>
        <w:t>There are or will be important factors that could cause our actual results to differ materially from those indicated in these forward-looking statements, including those more fully described in MediaAlpha’s filings with the Securities and Exchange Commission (“SEC”), including the Form 10-K filed on February 23, 2026 and the Forms 10-Q filed on April 29, 2026 and to be filed on July 29, 2026. These factors should not be construed as exhaustive. MediaAlpha disclaims any obligation to update any forward-looking statements to reflect events or circumstances that occur after the date of this press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60"/>
        <w:jc w:val="both"/>
        <w:rPr>
          <w:rFonts w:ascii="Times New Roman;serif" w:hAnsi="Times New Roman;serif"/>
          <w:b/>
          <w:color w:val="000000"/>
          <w:sz w:val="22"/>
        </w:rPr>
      </w:pPr>
      <w:r>
        <w:rPr>
          <w:rFonts w:ascii="Times New Roman;serif" w:hAnsi="Times New Roman;serif"/>
          <w:b/>
          <w:color w:val="000000"/>
          <w:sz w:val="22"/>
        </w:rPr>
        <w:t>Non-GAAP Financial Measures and Operating Metrics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This press release includes Adjusted EBITDA, Contribution, and Contribution Margin, which are non-GAAP financial measures. See the appendix for definitions of Adjusted EBITDA, Contribution and Contribution Margin, as well as reconciliations to the corresponding GAAP financial metrics, as applicable.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present Adjusted EBITDA, Contribution, and Contribution Margin because they are used extensively by our management and board of directors to manage our operating performance, including evaluating our operational performance against budget and assessing our overall operating efficiency and operating leverage. Accordingly, we believe that Adjusted EBITDA, Contribution, and Contribution Margin provide useful information to investors and others in understanding and evaluating our operating results in the same manner as our management team and board of directors. Each of Adjusted EBITDA, Contribution, and Contribution Margin has limitations as a financial measure and investors should not consider it in isolation or as a substitute for analysis of our results as reported under GAAP.</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About MediaAlpha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believe we are the insurance industry’s leading programmatic customer acquisition platform. With more than 1,150 active partners, in addition to our agent partners, we connect insurance carriers with online shoppers and generated over 141 million Consumer Referrals in 2025. Our programmatic advertising technology powered $2.2 billion in spend in 2025 on brand, comparison, and metasearch sites across property &amp; casualty insurance, health insurance, life insurance, and other industries. For more information, please visit www.mediaalpha.com.</w:t>
      </w:r>
    </w:p>
    <w:p>
      <w:pPr>
        <w:pStyle w:val="TextBody"/>
        <w:bidi w:val="0"/>
        <w:spacing w:lineRule="auto" w:line="288" w:before="200" w:after="283"/>
        <w:jc w:val="both"/>
        <w:rPr>
          <w:rFonts w:ascii="Times New Roman;serif" w:hAnsi="Times New Roman;serif"/>
          <w:b/>
          <w:color w:val="000000"/>
          <w:sz w:val="22"/>
          <w:u w:val="single"/>
        </w:rPr>
      </w:pPr>
      <w:r>
        <w:rPr>
          <w:rFonts w:ascii="Times New Roman;serif" w:hAnsi="Times New Roman;serif"/>
          <w:b/>
          <w:color w:val="000000"/>
          <w:sz w:val="22"/>
          <w:u w:val="single"/>
        </w:rPr>
        <w:t xml:space="preserve">Contacts: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Investors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Denise Garcia</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Hayflower Partners</w:t>
      </w:r>
    </w:p>
    <w:p>
      <w:pPr>
        <w:pStyle w:val="TextBody"/>
        <w:bidi w:val="0"/>
        <w:spacing w:lineRule="auto" w:line="288" w:before="0" w:after="0"/>
        <w:jc w:val="left"/>
        <w:rPr>
          <w:rFonts w:ascii="Times New Roman;serif" w:hAnsi="Times New Roman;serif"/>
          <w:b/>
          <w:color w:val="0000FF"/>
          <w:sz w:val="22"/>
          <w:u w:val="single"/>
        </w:rPr>
      </w:pPr>
      <w:r>
        <w:rPr>
          <w:rFonts w:ascii="Times New Roman;serif" w:hAnsi="Times New Roman;serif"/>
          <w:b/>
          <w:color w:val="0000FF"/>
          <w:sz w:val="22"/>
          <w:u w:val="single"/>
        </w:rPr>
        <w:t>Denise@HayflowerPartners.com</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MediaAlpha,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 except share data and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75"/>
        <w:gridCol w:w="2345"/>
        <w:gridCol w:w="2290"/>
        <w:gridCol w:w="211"/>
        <w:gridCol w:w="841"/>
        <w:gridCol w:w="109"/>
        <w:gridCol w:w="109"/>
        <w:gridCol w:w="109"/>
        <w:gridCol w:w="109"/>
        <w:gridCol w:w="211"/>
        <w:gridCol w:w="841"/>
        <w:gridCol w:w="155"/>
      </w:tblGrid>
      <w:tr>
        <w:trPr/>
        <w:tc>
          <w:tcPr>
            <w:tcW w:w="2875"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46,876 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$804 and $717, respectively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123,019 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4,477 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171,340 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174,372 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47,739 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130,519 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149,734 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8,396 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pPr>
            <w:r>
              <w:rPr>
                <w:rFonts w:ascii="Times New Roman;serif" w:hAnsi="Times New Roman;serif"/>
                <w:b/>
                <w:color w:val="000000"/>
                <w:sz w:val="20"/>
              </w:rPr>
              <w:t>359,816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pPr>
            <w:r>
              <w:rPr>
                <w:rFonts w:ascii="Times New Roman;serif" w:hAnsi="Times New Roman;serif"/>
                <w:b/>
                <w:color w:val="000000"/>
                <w:sz w:val="20"/>
              </w:rPr>
              <w:t>383,831</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91,094 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34,746 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21,807 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133,078 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147,647 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169,542 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131,602 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under tax receivables agreement, net of current portion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124,212 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9,564 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364,764 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413,025 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$0.01 par value - 1.0 billion shares authorized; 53.0 million and 56.2 million shares issued and outstanding as of June 30, 2026 and December 31, 2025, respectively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$0.01 par value - 100 million shares authorized; 8.3 million and 8.3 million shares issued and outstanding as of June 30, 2026 and December 31, 2025, respectively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- 50 million shares authorized; 0 shares issued and outstanding as of June 30, 2026 and December 31, 2025</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457,204 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483,825 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(429,405)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(480,310)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attributable to MediaAlpha,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(33,354)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(29,194)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pPr>
            <w:r>
              <w:rPr>
                <w:rFonts w:ascii="Times New Roman;serif" w:hAnsi="Times New Roman;serif"/>
                <w:b/>
                <w:color w:val="000000"/>
                <w:sz w:val="20"/>
              </w:rPr>
              <w:t>359,816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pPr>
            <w:r>
              <w:rPr>
                <w:rFonts w:ascii="Times New Roman;serif" w:hAnsi="Times New Roman;serif"/>
                <w:b/>
                <w:color w:val="000000"/>
                <w:sz w:val="20"/>
              </w:rPr>
              <w:t>383,831</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MediaAlpha,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 except share data and per share amounts)</w:t>
      </w:r>
    </w:p>
    <w:tbl>
      <w:tblPr>
        <w:tblW w:w="10205" w:type="dxa"/>
        <w:jc w:val="left"/>
        <w:tblInd w:w="0" w:type="dxa"/>
        <w:tblLayout w:type="fixed"/>
        <w:tblCellMar>
          <w:top w:w="28" w:type="dxa"/>
          <w:left w:w="28" w:type="dxa"/>
          <w:bottom w:w="28" w:type="dxa"/>
          <w:right w:w="28" w:type="dxa"/>
        </w:tblCellMar>
      </w:tblPr>
      <w:tblGrid>
        <w:gridCol w:w="1731"/>
        <w:gridCol w:w="1337"/>
        <w:gridCol w:w="1350"/>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5"/>
      </w:tblGrid>
      <w:tr>
        <w:trPr/>
        <w:tc>
          <w:tcPr>
            <w:tcW w:w="1731"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316,875 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251,622 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626,879 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515,931 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Costs and 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213,935 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535,006 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436,605 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10,854 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10,239 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64,743 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intangible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13,416 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296,913 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271,664 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584,543 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535,857 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42,336 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(19,926)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5,825 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(35,129)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4,674 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75,639 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(24,600)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(22,533)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(24,867)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(4,177)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MediaAlpha, Inc.</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(20,690)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MediaAlpha, Inc. per share of Class A common stock</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(0.37)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Class A common stock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53,747,946 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56,141,117 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54,791,225 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55,888,125 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62,072,166 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56,141,117 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63,115,445 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55,888,125 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MediaAlpha,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w:t>
      </w:r>
    </w:p>
    <w:tbl>
      <w:tblPr>
        <w:tblW w:w="8663" w:type="dxa"/>
        <w:jc w:val="left"/>
        <w:tblInd w:w="0" w:type="dxa"/>
        <w:tblLayout w:type="fixed"/>
        <w:tblCellMar>
          <w:top w:w="28" w:type="dxa"/>
          <w:left w:w="28" w:type="dxa"/>
          <w:bottom w:w="28" w:type="dxa"/>
          <w:right w:w="28" w:type="dxa"/>
        </w:tblCellMar>
      </w:tblPr>
      <w:tblGrid>
        <w:gridCol w:w="2260"/>
        <w:gridCol w:w="1982"/>
        <w:gridCol w:w="1997"/>
        <w:gridCol w:w="196"/>
        <w:gridCol w:w="721"/>
        <w:gridCol w:w="109"/>
        <w:gridCol w:w="109"/>
        <w:gridCol w:w="109"/>
        <w:gridCol w:w="109"/>
        <w:gridCol w:w="196"/>
        <w:gridCol w:w="721"/>
        <w:gridCol w:w="154"/>
      </w:tblGrid>
      <w:tr>
        <w:trPr/>
        <w:tc>
          <w:tcPr>
            <w:tcW w:w="226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55,829 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(24,867)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15,731 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15,136 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 on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Gain on repurchase of interests in tax receivables agreement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(37,651)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of intangible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13,416 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receivables agreement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40,348 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22,310 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(29,725)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(17,311)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32,714 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41,031 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49,423 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line of credit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revolving line of credit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long-term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long-term debt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(150,828)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Class A common stock</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(40,869)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QLH’s members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pursuant to tax receivables agreement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interests in tax receivables agreement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for taxes on vesting of restricted stock units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(63,346)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(7,076)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and cash equivalents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(23,131)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42,115 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46,876 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43,266 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23,745 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85,381 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business and operating metrics and Non-GAAP financial measures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i/>
          <w:color w:val="000000"/>
          <w:sz w:val="20"/>
        </w:rPr>
      </w:pPr>
      <w:r>
        <w:rPr>
          <w:rFonts w:ascii="Times New Roman;serif" w:hAnsi="Times New Roman;serif"/>
          <w:b/>
          <w:i/>
          <w:color w:val="000000"/>
          <w:sz w:val="20"/>
        </w:rPr>
        <w:t>Contribution and Contribution Margin</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“Contribution” as revenue less revenue share payments and online advertising costs, or, as reported in our consolidated statements of operations, revenue less cost of revenue (i.e., gross profit), as adjusted to exclude the following items from cost of revenue: equity-based compensation; salaries, wages, and related costs; internet and hosting costs; amortization; depreciation; other services; and merchant-related fees. We define “Contribution Margin” as Contribution expressed as a percentage of revenue for the same period. Contribution and Contribution Margin are non-GAAP financial measures that we present to supplement the financial information we present on a GAAP basis. We use Contribution and Contribution Margin to measure the return on our relationships with our Supply Partners (excluding certain fixed costs), the financial return on and efficacy of our online advertising costs to drive consumers to our proprietary websites, and our operating leverage. We do not use Contribution and Contribution Margin as measures of overall profitability. We present Contribution and Contribution Margin because they are used by our management and board of directors to manage our operating performance, including evaluating our operational performance against budget and assessing our overall operating efficiency and operating leverage. For example, if Contribution increases and our headcount costs and other operating expenses remain steady, our Adjusted EBITDA and operating leverage increase. If Contribution Margin decreases, we may choose to re-evaluate and re-negotiate our revenue share agreements with our Supply Partners, to make optimization and pricing changes with respect to our bids for keywords from primary traffic acquisition sources, or to change our overall cost structure with respect to headcount, fixed costs and other costs. Other companies may calculate Contribution and Contribution Margin differently than we do. Contribution and Contribution Margin have their limitations as analytical tools, and you should not consider them in isolation or as substitutes for analysis of our results presented in accordance with GAAP.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Contribution with gross profit, the most directly comparable financial measure calculated and presented in accordance with GAAP, for the three and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71"/>
        <w:gridCol w:w="1073"/>
        <w:gridCol w:w="1075"/>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7"/>
      </w:tblGrid>
      <w:tr>
        <w:trPr/>
        <w:tc>
          <w:tcPr>
            <w:tcW w:w="147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1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316,875 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251,622 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626,879 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515,931 </w:t>
            </w:r>
          </w:p>
        </w:tc>
        <w:tc>
          <w:tcPr>
            <w:tcW w:w="31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(271,701)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(213,935)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(535,006)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(436,605)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45,174 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37,687 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91,873 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79,326 </w:t>
            </w:r>
          </w:p>
        </w:tc>
        <w:tc>
          <w:tcPr>
            <w:tcW w:w="31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 exclude the following (as related to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wages, and 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Internet and hosting</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Merchant-related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83,818 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3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net income (loss) excluding interest expense, income tax expense (benefit), depreciation expense on property and equipment, amortization of intangible assets, as well as equity-based compensation expense and certain other adjustments as listed in the table below. Adjusted EBITDA is a non-GAAP financial measure that we present to supplement the financial information we present on a GAAP basis. We monitor and present Adjusted EBITDA because it is a key measure used by our management to understand and evaluate our operating performance, to establish budgets and to develop operational goals for managing our business. We believe that Adjusted EBITDA helps identify underlying trends in our business that could otherwise be masked by the effect of the expenses that we exclude in the calculations of Adjusted EBITDA. Accordingly, we believe that Adjusted EBITDA provides useful information to investors and others in understanding and evaluating our operating results, enhancing the overall understanding of our past performance and future prospects. In addition, presenting Adjusted EBITDA provides investors with a metric to evaluate the capital efficiency of our business.</w:t>
      </w:r>
    </w:p>
    <w:p>
      <w:pPr>
        <w:pStyle w:val="TextBody"/>
        <w:bidi w:val="0"/>
        <w:spacing w:lineRule="auto" w:line="288" w:before="1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is not presented in accordance with GAAP and should not be considered in isolation of, or as an alternative to, measures presented in accordance with GAAP. There are a number of limitations related to the use of Adjusted EBITDA rather than net income, which is the most directly comparable financial measure calculated and presented in accordance with GAAP. These limitations include the fact that Adjusted EBITDA excludes interest expense on debt, income tax expense (benefit), equity-based compensation expense, depreciation and amortization, and certain other adjustments that we consider to be useful to investors and others in understanding and evaluating our operating results. In addition, other companies may use other measures to evaluate their performance, including different definitions of “Adjusted EBITDA,” which could reduce the usefulness of our Adjusted EBITDA as a tool for comparison.</w:t>
      </w:r>
    </w:p>
    <w:p>
      <w:pPr>
        <w:pStyle w:val="TextBody"/>
        <w:bidi w:val="0"/>
        <w:spacing w:lineRule="auto" w:line="288" w:before="12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Adjusted EBITDA with net income (loss), the most directly comparable financial measure calculated and presented in accordance with GAAP,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669"/>
        <w:gridCol w:w="1448"/>
        <w:gridCol w:w="1434"/>
        <w:gridCol w:w="109"/>
        <w:gridCol w:w="109"/>
        <w:gridCol w:w="109"/>
        <w:gridCol w:w="211"/>
        <w:gridCol w:w="721"/>
        <w:gridCol w:w="109"/>
        <w:gridCol w:w="109"/>
        <w:gridCol w:w="109"/>
        <w:gridCol w:w="109"/>
        <w:gridCol w:w="211"/>
        <w:gridCol w:w="788"/>
        <w:gridCol w:w="109"/>
        <w:gridCol w:w="109"/>
        <w:gridCol w:w="109"/>
        <w:gridCol w:w="109"/>
        <w:gridCol w:w="211"/>
        <w:gridCol w:w="721"/>
        <w:gridCol w:w="109"/>
        <w:gridCol w:w="109"/>
        <w:gridCol w:w="109"/>
        <w:gridCol w:w="109"/>
        <w:gridCol w:w="211"/>
        <w:gridCol w:w="788"/>
        <w:gridCol w:w="157"/>
      </w:tblGrid>
      <w:tr>
        <w:trPr/>
        <w:tc>
          <w:tcPr>
            <w:tcW w:w="1669"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5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(24,867)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on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Transaction expenses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Write-off of intangible assets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repurchase of interests in tax receivables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Changes in TRA related liability</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Tax Indemnification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Legal expenses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29,269 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24,502 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60,629 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53,878 </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(1)Transaction expenses for the six months ended June 30, 2026 consist of legal and other fees of $1.1 million and a loss on extinguishment of debt of $0.2 million incurred by us in connection with the 2026 Credit Facilities.</w:t>
      </w:r>
    </w:p>
    <w:p>
      <w:pPr>
        <w:pStyle w:val="TextBody"/>
        <w:bidi w:val="0"/>
        <w:spacing w:lineRule="auto" w:line="319"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(2)Write-off of intangible assets for the six months ended June 30, 2025 consists of a charge related to the write-off of customer relationships and trademarks, trade names, and domain names intangible assets acquired as part of the acquisition of Customer Helper Team, LLC.</w:t>
      </w:r>
    </w:p>
    <w:p>
      <w:pPr>
        <w:pStyle w:val="TextBody"/>
        <w:bidi w:val="0"/>
        <w:spacing w:lineRule="auto" w:line="319"/>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(3)Changes in TRA related liability consist of adjustments to the TRA liability to reflect probable future payments under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(4)Legal expenses for the three and six months ended June 30, 2026 were immaterial. Legal expenses for the three and six months ended June 30, 2025, consist of increases of $33.0 million and $38.0 million, respectively, to the loss reserve established in connection with the FTC Matter and legal fees and costs incurred in connection with such matter.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4785" w:type="dxa"/>
        <w:jc w:val="center"/>
        <w:tblInd w:w="0" w:type="dxa"/>
        <w:tblLayout w:type="fixed"/>
        <w:tblCellMar>
          <w:top w:w="28" w:type="dxa"/>
          <w:left w:w="28" w:type="dxa"/>
          <w:bottom w:w="28" w:type="dxa"/>
          <w:right w:w="28" w:type="dxa"/>
        </w:tblCellMar>
      </w:tblPr>
      <w:tblGrid>
        <w:gridCol w:w="1533"/>
        <w:gridCol w:w="1347"/>
        <w:gridCol w:w="1905"/>
      </w:tblGrid>
      <w:tr>
        <w:trPr/>
        <w:tc>
          <w:tcPr>
            <w:tcW w:w="15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81250" cy="1314450"/>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2"/>
                          <a:stretch>
                            <a:fillRect/>
                          </a:stretch>
                        </pic:blipFill>
                        <pic:spPr bwMode="auto">
                          <a:xfrm>
                            <a:off x="0" y="0"/>
                            <a:ext cx="2381250" cy="1314450"/>
                          </a:xfrm>
                          <a:prstGeom prst="rect">
                            <a:avLst/>
                          </a:prstGeom>
                        </pic:spPr>
                      </pic:pic>
                    </a:graphicData>
                  </a:graphic>
                </wp:inline>
              </w:drawing>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707070"/>
                <w:sz w:val="56"/>
              </w:rPr>
            </w:pPr>
            <w:r>
              <w:rPr>
                <w:rFonts w:ascii="Times New Roman;serif" w:hAnsi="Times New Roman;serif"/>
                <w:b w:val="false"/>
                <w:color w:val="707070"/>
                <w:sz w:val="56"/>
              </w:rPr>
              <w:t>Investor Supplement</w:t>
            </w:r>
          </w:p>
          <w:p>
            <w:pPr>
              <w:pStyle w:val="TableContents"/>
              <w:bidi w:val="0"/>
              <w:spacing w:lineRule="auto" w:line="240" w:before="0" w:after="0"/>
              <w:jc w:val="center"/>
              <w:rPr>
                <w:rFonts w:ascii="Times New Roman;serif" w:hAnsi="Times New Roman;serif"/>
                <w:b w:val="false"/>
                <w:color w:val="535353"/>
                <w:sz w:val="32"/>
              </w:rPr>
            </w:pPr>
            <w:r>
              <w:rPr>
                <w:rFonts w:ascii="Times New Roman;serif" w:hAnsi="Times New Roman;serif"/>
                <w:b w:val="false"/>
                <w:color w:val="535353"/>
                <w:sz w:val="32"/>
              </w:rPr>
              <w:t xml:space="preserve">Q2 2026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14325" cy="266700"/>
            <wp:effectExtent l="0" t="0" r="0" b="0"/>
            <wp:docPr id="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 descr=""/>
                    <pic:cNvPicPr>
                      <a:picLocks noChangeAspect="1" noChangeArrowheads="1"/>
                    </pic:cNvPicPr>
                  </pic:nvPicPr>
                  <pic:blipFill>
                    <a:blip r:embed="rId3"/>
                    <a:stretch>
                      <a:fillRect/>
                    </a:stretch>
                  </pic:blipFill>
                  <pic:spPr bwMode="auto">
                    <a:xfrm>
                      <a:off x="0" y="0"/>
                      <a:ext cx="314325" cy="266700"/>
                    </a:xfrm>
                    <a:prstGeom prst="rect">
                      <a:avLst/>
                    </a:prstGeom>
                  </pic:spPr>
                </pic:pic>
              </a:graphicData>
            </a:graphic>
          </wp:inline>
        </w:drawing>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28650"/>
                <wp:effectExtent l="0" t="0" r="0" b="0"/>
                <wp:wrapNone/>
                <wp:docPr id="17" name="Frame1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57.25pt;mso-position-horizontal:left;mso-position-horizontal-relative:text">
                <v:textbox>
                  <w:txbxContent>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535353"/>
          <w:sz w:val="48"/>
        </w:rPr>
      </w:pPr>
      <w:r>
        <w:rPr>
          <w:rFonts w:ascii="Times New Roman;serif" w:hAnsi="Times New Roman;serif"/>
          <w:b/>
          <w:color w:val="535353"/>
          <w:sz w:val="48"/>
        </w:rPr>
        <w:t>Investor Supplementary Financial Information</w:t>
      </w:r>
    </w:p>
    <w:p>
      <w:pPr>
        <w:pStyle w:val="TextBody"/>
        <w:bidi w:val="0"/>
        <w:spacing w:lineRule="auto" w:line="288" w:before="240" w:after="283"/>
        <w:jc w:val="both"/>
        <w:rPr>
          <w:rFonts w:ascii="Times New Roman;serif" w:hAnsi="Times New Roman;serif"/>
          <w:b w:val="false"/>
          <w:color w:val="707070"/>
          <w:sz w:val="22"/>
        </w:rPr>
      </w:pPr>
      <w:r>
        <w:rPr>
          <w:rFonts w:ascii="Times New Roman;serif" w:hAnsi="Times New Roman;serif"/>
          <w:b w:val="false"/>
          <w:color w:val="707070"/>
          <w:sz w:val="22"/>
        </w:rPr>
        <w:t>The accompanying financial information excludes all financial statement disclosures and other information required by generally accepted accounting principles in the United States of America (“GAAP”) and Securities and Exchange Commission (SEC) rules and regulations. However, MediaAlpha, Inc. (“MediaAlpha" or the "Company”) has previously filed, or has publicly disclosed and will file, with the SEC, consolidated financial statements for each of the periods presented that were prepared in accordance with GAAP and SEC rules and regulations. The accompanying financial information is derived from the books and records of MediaAlpha that were used to prepare those consolidated financial statements. Accordingly, the accompanying information should be read in conjunction with MediaAlpha's consolidated financial statements and related notes thereto filed with the SEC. We believe that quarter-to-quarter comparisons of results from operations, or any other similar period-to-period comparisons, should not be construed as reliable indicators of our future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707070"/>
          <w:sz w:val="22"/>
        </w:rPr>
      </w:pPr>
      <w:r>
        <w:rPr>
          <w:rFonts w:ascii="Times New Roman;serif" w:hAnsi="Times New Roman;serif"/>
          <w:b w:val="false"/>
          <w:color w:val="707070"/>
          <w:sz w:val="22"/>
        </w:rPr>
        <w:t>The accompanying financial information includes certain non-GAAP financial measures. Definitions of these non-GAAP financial measures, as well as reconciliations to the corresponding GAAP financial metrics, have been provided on the following pages. We present these supplemental non-GAAP financial measures because they are used extensively by our management and board of directors to manage our operating performance, including evaluating our operational performance against budget and assessing our overall operating efficiency and operating leverage. Accordingly, we believe that these non-GAAP financial measures provide useful information to investors and others in understanding and evaluating our operating results in the same manner as our management team and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707070"/>
          <w:sz w:val="22"/>
        </w:rPr>
      </w:pPr>
      <w:r>
        <w:rPr>
          <w:rFonts w:ascii="Times New Roman;serif" w:hAnsi="Times New Roman;serif"/>
          <w:b w:val="false"/>
          <w:color w:val="707070"/>
          <w:sz w:val="22"/>
        </w:rPr>
        <w:t>These non-GAAP measures should not be considered as an alternative to net income, gross profit or any other financial measures so calculated and presented. Other companies (including our competitors) may define these non-GAAP measures differently. These non-GAAP measures may not be indicative of the historical operating results of MediaAlpha or predictive of potential future results.  Investors should not consider this supplemental non-GAAP financial information in isolation or as a substitute for analysis of our results as reported in accordance with GAAP.</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120" w:after="240"/>
        <w:jc w:val="both"/>
        <w:rPr/>
      </w:pPr>
      <w:r>
        <w:rPr/>
      </w:r>
    </w:p>
    <w:p>
      <w:pPr>
        <w:pStyle w:val="TextBody"/>
        <w:bidi w:val="0"/>
        <w:spacing w:before="0" w:after="0"/>
        <w:jc w:val="right"/>
        <w:rPr/>
      </w:pPr>
      <w:r>
        <w:rPr/>
        <w:drawing>
          <wp:inline distT="0" distB="0" distL="0" distR="0">
            <wp:extent cx="314325" cy="266700"/>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4"/>
                    <a:stretch>
                      <a:fillRect/>
                    </a:stretch>
                  </pic:blipFill>
                  <pic:spPr bwMode="auto">
                    <a:xfrm>
                      <a:off x="0" y="0"/>
                      <a:ext cx="314325" cy="266700"/>
                    </a:xfrm>
                    <a:prstGeom prst="rect">
                      <a:avLst/>
                    </a:prstGeom>
                  </pic:spPr>
                </pic:pic>
              </a:graphicData>
            </a:graphic>
          </wp:inline>
        </w:drawing>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51180"/>
                <wp:effectExtent l="0" t="0" r="0" b="0"/>
                <wp:wrapNone/>
                <wp:docPr id="19" name="Frame16"/>
                <a:graphic xmlns:a="http://schemas.openxmlformats.org/drawingml/2006/main">
                  <a:graphicData uri="http://schemas.microsoft.com/office/word/2010/wordprocessingShape">
                    <wps:wsp>
                      <wps:cNvSpPr txBox="1"/>
                      <wps:spPr>
                        <a:xfrm>
                          <a:off x="0" y="0"/>
                          <a:ext cx="6480175" cy="551180"/>
                        </a:xfrm>
                        <a:prstGeom prst="rect"/>
                        <a:solidFill>
                          <a:srgbClr val="FFFFFF"/>
                        </a:solidFill>
                      </wps:spPr>
                      <wps:txb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4pt;mso-wrap-distance-left:0pt;mso-wrap-distance-right:0pt;mso-wrap-distance-top:0pt;mso-wrap-distance-bottom:0pt;margin-top:0pt;mso-position-vertical:top;mso-position-vertical-relative:text;margin-left:-457.25pt;mso-position-horizontal:left;mso-position-horizontal-relative:text">
                <v:textbo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2</w:t>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535353"/>
          <w:sz w:val="48"/>
        </w:rPr>
      </w:pPr>
      <w:r>
        <w:rPr>
          <w:rFonts w:ascii="Times New Roman;serif" w:hAnsi="Times New Roman;serif"/>
          <w:b/>
          <w:color w:val="535353"/>
          <w:sz w:val="48"/>
        </w:rPr>
        <w:t>Q2 2026 Consolidated Results</w:t>
      </w:r>
    </w:p>
    <w:p>
      <w:pPr>
        <w:pStyle w:val="TextBody"/>
        <w:bidi w:val="0"/>
        <w:spacing w:before="240" w:after="283"/>
        <w:jc w:val="left"/>
        <w:rPr/>
      </w:pPr>
      <w:r>
        <w:rPr/>
      </w:r>
    </w:p>
    <w:tbl>
      <w:tblPr>
        <w:tblW w:w="9521" w:type="dxa"/>
        <w:jc w:val="center"/>
        <w:tblInd w:w="0" w:type="dxa"/>
        <w:tblLayout w:type="fixed"/>
        <w:tblCellMar>
          <w:top w:w="28" w:type="dxa"/>
          <w:left w:w="28" w:type="dxa"/>
          <w:bottom w:w="28" w:type="dxa"/>
          <w:right w:w="28" w:type="dxa"/>
        </w:tblCellMar>
      </w:tblPr>
      <w:tblGrid>
        <w:gridCol w:w="1998"/>
        <w:gridCol w:w="1758"/>
        <w:gridCol w:w="1763"/>
        <w:gridCol w:w="226"/>
        <w:gridCol w:w="706"/>
        <w:gridCol w:w="109"/>
        <w:gridCol w:w="226"/>
        <w:gridCol w:w="706"/>
        <w:gridCol w:w="109"/>
        <w:gridCol w:w="479"/>
        <w:gridCol w:w="479"/>
        <w:gridCol w:w="481"/>
        <w:gridCol w:w="109"/>
        <w:gridCol w:w="109"/>
        <w:gridCol w:w="109"/>
        <w:gridCol w:w="154"/>
      </w:tblGrid>
      <w:tr>
        <w:trPr/>
        <w:tc>
          <w:tcPr>
            <w:tcW w:w="199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808080"/>
                <w:sz w:val="24"/>
              </w:rPr>
            </w:pPr>
            <w:r>
              <w:rPr>
                <w:rFonts w:ascii="Times New Roman;serif" w:hAnsi="Times New Roman;serif"/>
                <w:b/>
                <w:color w:val="808080"/>
                <w:sz w:val="24"/>
              </w:rPr>
              <w:t>Q2</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535353"/>
                <w:sz w:val="24"/>
              </w:rPr>
            </w:pPr>
            <w:r>
              <w:rPr>
                <w:rFonts w:ascii="Times New Roman;serif" w:hAnsi="Times New Roman;serif"/>
                <w:b/>
                <w:color w:val="535353"/>
                <w:sz w:val="24"/>
              </w:rPr>
              <w:t>(in millions, except percentages, unaudited)</w:t>
            </w:r>
          </w:p>
        </w:tc>
        <w:tc>
          <w:tcPr>
            <w:tcW w:w="1041" w:type="dxa"/>
            <w:gridSpan w:val="3"/>
            <w:tcBorders/>
            <w:shd w:fill="FCDAD3"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808080"/>
                <w:sz w:val="24"/>
              </w:rPr>
            </w:pPr>
            <w:r>
              <w:rPr>
                <w:rFonts w:ascii="Times New Roman;serif" w:hAnsi="Times New Roman;serif"/>
                <w:b/>
                <w:color w:val="808080"/>
                <w:sz w:val="24"/>
              </w:rPr>
              <w:t>2026</w:t>
            </w:r>
          </w:p>
        </w:tc>
        <w:tc>
          <w:tcPr>
            <w:tcW w:w="1041" w:type="dxa"/>
            <w:gridSpan w:val="3"/>
            <w:tcBorders/>
            <w:shd w:fill="FCDAD3"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808080"/>
                <w:sz w:val="24"/>
              </w:rPr>
            </w:pPr>
            <w:r>
              <w:rPr>
                <w:rFonts w:ascii="Times New Roman;serif" w:hAnsi="Times New Roman;serif"/>
                <w:b/>
                <w:color w:val="808080"/>
                <w:sz w:val="24"/>
              </w:rPr>
              <w:t>2025</w:t>
            </w:r>
          </w:p>
        </w:tc>
        <w:tc>
          <w:tcPr>
            <w:tcW w:w="1439" w:type="dxa"/>
            <w:gridSpan w:val="3"/>
            <w:tcBorders/>
            <w:shd w:fill="FCDAD3"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808080"/>
                <w:sz w:val="24"/>
              </w:rPr>
            </w:pPr>
            <w:r>
              <w:rPr>
                <w:rFonts w:ascii="Times New Roman;serif" w:hAnsi="Times New Roman;serif"/>
                <w:b/>
                <w:color w:val="808080"/>
                <w:sz w:val="24"/>
              </w:rPr>
              <w:t>YoY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8"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04A22"/>
                <w:sz w:val="24"/>
              </w:rPr>
            </w:pPr>
            <w:r>
              <w:rPr>
                <w:rFonts w:ascii="Times New Roman;serif" w:hAnsi="Times New Roman;serif"/>
                <w:b/>
                <w:color w:val="F04A22"/>
                <w:sz w:val="24"/>
              </w:rPr>
              <w:t>Revenue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316.9 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251.6 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04A22"/>
                <w:sz w:val="24"/>
              </w:rPr>
            </w:pPr>
            <w:r>
              <w:rPr>
                <w:rFonts w:ascii="Times New Roman;serif" w:hAnsi="Times New Roman;serif"/>
                <w:b/>
                <w:color w:val="F04A22"/>
                <w:sz w:val="24"/>
              </w:rPr>
              <w:t>Under-65 Revenue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04A22"/>
                <w:sz w:val="24"/>
              </w:rPr>
            </w:pPr>
            <w:r>
              <w:rPr>
                <w:rFonts w:ascii="Times New Roman;serif" w:hAnsi="Times New Roman;serif"/>
                <w:b/>
                <w:color w:val="F04A22"/>
                <w:sz w:val="24"/>
              </w:rPr>
              <w:t>Revenue excluding Under-65 Revenue</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316.2 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237.9 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04A22"/>
                <w:sz w:val="24"/>
              </w:rPr>
            </w:pPr>
            <w:r>
              <w:rPr>
                <w:rFonts w:ascii="Times New Roman;serif" w:hAnsi="Times New Roman;serif"/>
                <w:b/>
                <w:color w:val="F04A22"/>
                <w:sz w:val="24"/>
              </w:rPr>
              <w:t>Gross Profit</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45.2 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F04A22"/>
                <w:sz w:val="24"/>
              </w:rPr>
              <w:t xml:space="preserve">Contribution </w:t>
            </w:r>
            <w:r>
              <w:rPr>
                <w:rFonts w:ascii="Times New Roman;serif" w:hAnsi="Times New Roman;serif"/>
                <w:b/>
                <w:color w:val="F04A22"/>
                <w:sz w:val="16"/>
              </w:rPr>
              <w:t>1</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39.8 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04A22"/>
                <w:sz w:val="24"/>
              </w:rPr>
            </w:pPr>
            <w:r>
              <w:rPr>
                <w:rFonts w:ascii="Times New Roman;serif" w:hAnsi="Times New Roman;serif"/>
                <w:b/>
                <w:color w:val="F04A22"/>
                <w:sz w:val="24"/>
              </w:rPr>
              <w:t>Under-65 Contribution</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04A22"/>
                <w:sz w:val="24"/>
              </w:rPr>
            </w:pPr>
            <w:r>
              <w:rPr>
                <w:rFonts w:ascii="Times New Roman;serif" w:hAnsi="Times New Roman;serif"/>
                <w:b/>
                <w:color w:val="F04A22"/>
                <w:sz w:val="24"/>
              </w:rPr>
              <w:t>Contribution excluding Under-65 Contribution</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37.5 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04A22"/>
                <w:sz w:val="24"/>
              </w:rPr>
            </w:pPr>
            <w:r>
              <w:rPr>
                <w:rFonts w:ascii="Times New Roman;serif" w:hAnsi="Times New Roman;serif"/>
                <w:b/>
                <w:color w:val="F04A22"/>
                <w:sz w:val="24"/>
              </w:rPr>
              <w:t>Net Income (Loss)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41.8 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(22.5)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F04A22"/>
                <w:sz w:val="24"/>
              </w:rPr>
              <w:t xml:space="preserve">Adjusted EBITDA </w:t>
            </w:r>
            <w:r>
              <w:rPr>
                <w:rFonts w:ascii="Times New Roman;serif" w:hAnsi="Times New Roman;serif"/>
                <w:b/>
                <w:color w:val="F04A22"/>
                <w:sz w:val="16"/>
              </w:rPr>
              <w:t>1</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04A22"/>
                <w:sz w:val="24"/>
              </w:rPr>
            </w:pPr>
            <w:r>
              <w:rPr>
                <w:rFonts w:ascii="Times New Roman;serif" w:hAnsi="Times New Roman;serif"/>
                <w:b/>
                <w:color w:val="F04A22"/>
                <w:sz w:val="24"/>
              </w:rPr>
              <w:t>Under-65 Contribution</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04A22"/>
                <w:sz w:val="24"/>
              </w:rPr>
            </w:pPr>
            <w:r>
              <w:rPr>
                <w:rFonts w:ascii="Times New Roman;serif" w:hAnsi="Times New Roman;serif"/>
                <w:b/>
                <w:color w:val="F04A22"/>
                <w:sz w:val="24"/>
              </w:rPr>
              <w:t>Adjusted EBITDA excluding Under-65 Contribution</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29.0 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F04A22"/>
                <w:sz w:val="24"/>
              </w:rPr>
            </w:pPr>
            <w:r>
              <w:rPr>
                <w:rFonts w:ascii="Times New Roman;serif" w:hAnsi="Times New Roman;serif"/>
                <w:b w:val="false"/>
                <w:color w:val="F04A22"/>
                <w:sz w:val="24"/>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04A22"/>
                <w:sz w:val="24"/>
              </w:rPr>
            </w:pPr>
            <w:r>
              <w:rPr>
                <w:rFonts w:ascii="Times New Roman;serif" w:hAnsi="Times New Roman;serif"/>
                <w:b w:val="false"/>
                <w:color w:val="F04A22"/>
                <w:sz w:val="24"/>
              </w:rPr>
              <w:t>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808080"/>
                <w:sz w:val="24"/>
              </w:rPr>
            </w:pPr>
            <w:r>
              <w:rPr>
                <w:rFonts w:ascii="Times New Roman;serif" w:hAnsi="Times New Roman;serif"/>
                <w:b w:val="false"/>
                <w:i/>
                <w:color w:val="808080"/>
                <w:sz w:val="24"/>
              </w:rPr>
              <w:t>n/m - Not Meaningful</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180"/>
        <w:jc w:val="left"/>
        <w:rPr/>
      </w:pPr>
      <w:r>
        <w:rPr/>
      </w:r>
    </w:p>
    <w:p>
      <w:pPr>
        <w:pStyle w:val="TextBody"/>
        <w:bidi w:val="0"/>
        <w:spacing w:before="60" w:after="283"/>
        <w:ind w:left="0" w:right="0" w:firstLine="180"/>
        <w:jc w:val="left"/>
        <w:rPr/>
      </w:pPr>
      <w:r>
        <w:rPr/>
      </w:r>
    </w:p>
    <w:p>
      <w:pPr>
        <w:pStyle w:val="TextBody"/>
        <w:bidi w:val="0"/>
        <w:spacing w:before="60" w:after="283"/>
        <w:ind w:left="0" w:right="0" w:firstLine="180"/>
        <w:jc w:val="left"/>
        <w:rPr/>
      </w:pPr>
      <w:r>
        <w:rPr/>
      </w:r>
    </w:p>
    <w:p>
      <w:pPr>
        <w:pStyle w:val="TextBody"/>
        <w:bidi w:val="0"/>
        <w:spacing w:before="60" w:after="283"/>
        <w:ind w:left="0" w:right="0" w:firstLine="180"/>
        <w:jc w:val="left"/>
        <w:rPr/>
      </w:pPr>
      <w:r>
        <w:rPr/>
      </w:r>
    </w:p>
    <w:p>
      <w:pPr>
        <w:pStyle w:val="TextBody"/>
        <w:bidi w:val="0"/>
        <w:spacing w:before="60" w:after="283"/>
        <w:ind w:left="0" w:right="0" w:firstLine="180"/>
        <w:jc w:val="left"/>
        <w:rPr/>
      </w:pPr>
      <w:r>
        <w:rPr/>
      </w:r>
    </w:p>
    <w:p>
      <w:pPr>
        <w:pStyle w:val="TextBody"/>
        <w:bidi w:val="0"/>
        <w:spacing w:before="60" w:after="283"/>
        <w:ind w:left="0" w:right="0" w:firstLine="180"/>
        <w:jc w:val="left"/>
        <w:rPr/>
      </w:pPr>
      <w:r>
        <w:rPr/>
      </w:r>
    </w:p>
    <w:p>
      <w:pPr>
        <w:pStyle w:val="TextBody"/>
        <w:bidi w:val="0"/>
        <w:spacing w:lineRule="auto" w:line="288" w:before="60" w:after="283"/>
        <w:ind w:left="0" w:right="0" w:hanging="180"/>
        <w:jc w:val="left"/>
        <w:rPr>
          <w:rFonts w:ascii="Times New Roman;serif" w:hAnsi="Times New Roman;serif"/>
          <w:b w:val="false"/>
          <w:color w:val="707070"/>
          <w:sz w:val="20"/>
        </w:rPr>
      </w:pPr>
      <w:r>
        <w:rPr>
          <w:rFonts w:ascii="Times New Roman;serif" w:hAnsi="Times New Roman;serif"/>
          <w:b w:val="false"/>
          <w:color w:val="707070"/>
          <w:sz w:val="20"/>
        </w:rPr>
        <w:t>1.See “Key Business Metrics and Non-GAAP Financial Measures” for additional information regarding non-GAAP metrics and operating metrics used in this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14325" cy="26670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314325" cy="266700"/>
                    </a:xfrm>
                    <a:prstGeom prst="rect">
                      <a:avLst/>
                    </a:prstGeom>
                  </pic:spPr>
                </pic:pic>
              </a:graphicData>
            </a:graphic>
          </wp:inline>
        </w:drawing>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51180"/>
                <wp:effectExtent l="0" t="0" r="0" b="0"/>
                <wp:wrapNone/>
                <wp:docPr id="21" name="Frame17"/>
                <a:graphic xmlns:a="http://schemas.openxmlformats.org/drawingml/2006/main">
                  <a:graphicData uri="http://schemas.microsoft.com/office/word/2010/wordprocessingShape">
                    <wps:wsp>
                      <wps:cNvSpPr txBox="1"/>
                      <wps:spPr>
                        <a:xfrm>
                          <a:off x="0" y="0"/>
                          <a:ext cx="6480175" cy="551180"/>
                        </a:xfrm>
                        <a:prstGeom prst="rect"/>
                        <a:solidFill>
                          <a:srgbClr val="FFFFFF"/>
                        </a:solidFill>
                      </wps:spPr>
                      <wps:txb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4pt;mso-wrap-distance-left:0pt;mso-wrap-distance-right:0pt;mso-wrap-distance-top:0pt;mso-wrap-distance-bottom:0pt;margin-top:0pt;mso-position-vertical:top;mso-position-vertical-relative:text;margin-left:-457.25pt;mso-position-horizontal:left;mso-position-horizontal-relative:text">
                <v:textbo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3</w:t>
                      </w:r>
                    </w:p>
                  </w:txbxContent>
                </v:textbox>
                <w10:wrap type="none"/>
              </v:rect>
            </w:pict>
          </mc:Fallback>
        </mc:AlternateContent>
      </w:r>
    </w:p>
    <w:p>
      <w:pPr>
        <w:pStyle w:val="TextBody"/>
        <w:bidi w:val="0"/>
        <w:spacing w:lineRule="auto" w:line="288" w:before="240" w:after="120"/>
        <w:jc w:val="center"/>
        <w:rPr>
          <w:rFonts w:ascii="Times New Roman;serif" w:hAnsi="Times New Roman;serif"/>
          <w:b/>
          <w:color w:val="535353"/>
          <w:sz w:val="48"/>
        </w:rPr>
      </w:pPr>
      <w:r>
        <w:rPr>
          <w:rFonts w:ascii="Times New Roman;serif" w:hAnsi="Times New Roman;serif"/>
          <w:b/>
          <w:color w:val="535353"/>
          <w:sz w:val="48"/>
        </w:rPr>
        <w:t>Revenue by Vertical</w:t>
      </w:r>
    </w:p>
    <w:p>
      <w:pPr>
        <w:pStyle w:val="TextBody"/>
        <w:bidi w:val="0"/>
        <w:spacing w:before="240" w:after="120"/>
        <w:jc w:val="left"/>
        <w:rPr/>
      </w:pPr>
      <w:r>
        <w:rPr/>
      </w:r>
    </w:p>
    <w:p>
      <w:pPr>
        <w:pStyle w:val="TextBody"/>
        <w:bidi w:val="0"/>
        <w:jc w:val="center"/>
        <w:rPr/>
      </w:pPr>
      <w:r>
        <w:rPr/>
        <w:drawing>
          <wp:inline distT="0" distB="0" distL="0" distR="0">
            <wp:extent cx="8229600" cy="3609975"/>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8229600" cy="3609975"/>
                    </a:xfrm>
                    <a:prstGeom prst="rect">
                      <a:avLst/>
                    </a:prstGeom>
                  </pic:spPr>
                </pic:pic>
              </a:graphicData>
            </a:graphic>
          </wp:inline>
        </w:drawing>
      </w:r>
    </w:p>
    <w:p>
      <w:pPr>
        <w:pStyle w:val="TextBody"/>
        <w:bidi w:val="0"/>
        <w:spacing w:before="0" w:after="0"/>
        <w:jc w:val="right"/>
        <w:rPr/>
      </w:pPr>
      <w:r>
        <w:rPr/>
        <w:drawing>
          <wp:inline distT="0" distB="0" distL="0" distR="0">
            <wp:extent cx="314325" cy="2667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314325" cy="266700"/>
                    </a:xfrm>
                    <a:prstGeom prst="rect">
                      <a:avLst/>
                    </a:prstGeom>
                  </pic:spPr>
                </pic:pic>
              </a:graphicData>
            </a:graphic>
          </wp:inline>
        </w:drawing>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51180"/>
                <wp:effectExtent l="0" t="0" r="0" b="0"/>
                <wp:wrapNone/>
                <wp:docPr id="24" name="Frame18"/>
                <a:graphic xmlns:a="http://schemas.openxmlformats.org/drawingml/2006/main">
                  <a:graphicData uri="http://schemas.microsoft.com/office/word/2010/wordprocessingShape">
                    <wps:wsp>
                      <wps:cNvSpPr txBox="1"/>
                      <wps:spPr>
                        <a:xfrm>
                          <a:off x="0" y="0"/>
                          <a:ext cx="6480175" cy="551180"/>
                        </a:xfrm>
                        <a:prstGeom prst="rect"/>
                        <a:solidFill>
                          <a:srgbClr val="FFFFFF"/>
                        </a:solidFill>
                      </wps:spPr>
                      <wps:txb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4pt;mso-wrap-distance-left:0pt;mso-wrap-distance-right:0pt;mso-wrap-distance-top:0pt;mso-wrap-distance-bottom:0pt;margin-top:0pt;mso-position-vertical:top;mso-position-vertical-relative:text;margin-left:-457.25pt;mso-position-horizontal:left;mso-position-horizontal-relative:text">
                <v:textbo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4</w:t>
                      </w:r>
                    </w:p>
                  </w:txbxContent>
                </v:textbox>
                <w10:wrap type="none"/>
              </v:rect>
            </w:pict>
          </mc:Fallback>
        </mc:AlternateContent>
      </w:r>
    </w:p>
    <w:p>
      <w:pPr>
        <w:pStyle w:val="TextBody"/>
        <w:bidi w:val="0"/>
        <w:spacing w:lineRule="auto" w:line="288" w:before="240" w:after="120"/>
        <w:jc w:val="center"/>
        <w:rPr>
          <w:rFonts w:ascii="Times New Roman;serif" w:hAnsi="Times New Roman;serif"/>
          <w:b/>
          <w:color w:val="535353"/>
          <w:sz w:val="48"/>
        </w:rPr>
      </w:pPr>
      <w:r>
        <w:rPr>
          <w:rFonts w:ascii="Times New Roman;serif" w:hAnsi="Times New Roman;serif"/>
          <w:b/>
          <w:color w:val="535353"/>
          <w:sz w:val="48"/>
        </w:rPr>
        <w:t xml:space="preserve">Revenue by Vertical and Platform Model </w:t>
      </w:r>
    </w:p>
    <w:p>
      <w:pPr>
        <w:pStyle w:val="TextBody"/>
        <w:bidi w:val="0"/>
        <w:spacing w:before="240" w:after="120"/>
        <w:jc w:val="center"/>
        <w:rPr/>
      </w:pPr>
      <w:r>
        <w:rPr/>
      </w:r>
    </w:p>
    <w:tbl>
      <w:tblPr>
        <w:tblW w:w="10205" w:type="dxa"/>
        <w:jc w:val="center"/>
        <w:tblInd w:w="0" w:type="dxa"/>
        <w:tblLayout w:type="fixed"/>
        <w:tblCellMar>
          <w:top w:w="28" w:type="dxa"/>
          <w:left w:w="28" w:type="dxa"/>
          <w:bottom w:w="28" w:type="dxa"/>
          <w:right w:w="28" w:type="dxa"/>
        </w:tblCellMar>
      </w:tblPr>
      <w:tblGrid>
        <w:gridCol w:w="1436"/>
        <w:gridCol w:w="1192"/>
        <w:gridCol w:w="1201"/>
        <w:gridCol w:w="252"/>
        <w:gridCol w:w="788"/>
        <w:gridCol w:w="336"/>
        <w:gridCol w:w="121"/>
        <w:gridCol w:w="121"/>
        <w:gridCol w:w="121"/>
        <w:gridCol w:w="252"/>
        <w:gridCol w:w="788"/>
        <w:gridCol w:w="336"/>
        <w:gridCol w:w="109"/>
        <w:gridCol w:w="109"/>
        <w:gridCol w:w="109"/>
        <w:gridCol w:w="233"/>
        <w:gridCol w:w="728"/>
        <w:gridCol w:w="310"/>
        <w:gridCol w:w="112"/>
        <w:gridCol w:w="112"/>
        <w:gridCol w:w="112"/>
        <w:gridCol w:w="233"/>
        <w:gridCol w:w="728"/>
        <w:gridCol w:w="366"/>
      </w:tblGrid>
      <w:tr>
        <w:trPr/>
        <w:tc>
          <w:tcPr>
            <w:tcW w:w="143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Revenue by Vertical</w:t>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24"/>
              </w:rPr>
            </w:pPr>
            <w:r>
              <w:rPr>
                <w:rFonts w:ascii="Times New Roman;serif" w:hAnsi="Times New Roman;serif"/>
                <w:b/>
                <w:color w:val="535353"/>
                <w:sz w:val="2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24"/>
              </w:rPr>
            </w:pPr>
            <w:r>
              <w:rPr>
                <w:rFonts w:ascii="Times New Roman;serif" w:hAnsi="Times New Roman;serif"/>
                <w:b/>
                <w:color w:val="535353"/>
                <w:sz w:val="24"/>
              </w:rPr>
              <w:t>Six Months Ended June 30,</w:t>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535353"/>
                <w:sz w:val="24"/>
              </w:rPr>
            </w:pPr>
            <w:r>
              <w:rPr>
                <w:rFonts w:ascii="Times New Roman;serif" w:hAnsi="Times New Roman;serif"/>
                <w:b/>
                <w:color w:val="535353"/>
                <w:sz w:val="24"/>
              </w:rPr>
              <w:t>(in millions, except percentages, unaudited)</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24"/>
              </w:rPr>
            </w:pPr>
            <w:r>
              <w:rPr>
                <w:rFonts w:ascii="Times New Roman;serif" w:hAnsi="Times New Roman;serif"/>
                <w:b/>
                <w:color w:val="535353"/>
                <w:sz w:val="24"/>
              </w:rPr>
              <w:t>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24"/>
              </w:rPr>
            </w:pPr>
            <w:r>
              <w:rPr>
                <w:rFonts w:ascii="Times New Roman;serif" w:hAnsi="Times New Roman;serif"/>
                <w:b/>
                <w:color w:val="535353"/>
                <w:sz w:val="2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24"/>
              </w:rPr>
            </w:pPr>
            <w:r>
              <w:rPr>
                <w:rFonts w:ascii="Times New Roman;serif" w:hAnsi="Times New Roman;serif"/>
                <w:b/>
                <w:color w:val="535353"/>
                <w:sz w:val="24"/>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24"/>
              </w:rPr>
            </w:pPr>
            <w:r>
              <w:rPr>
                <w:rFonts w:ascii="Times New Roman;serif" w:hAnsi="Times New Roman;serif"/>
                <w:b/>
                <w:color w:val="535353"/>
                <w:sz w:val="24"/>
              </w:rPr>
              <w:t>2025</w:t>
            </w:r>
          </w:p>
        </w:tc>
      </w:tr>
      <w:tr>
        <w:trPr/>
        <w:tc>
          <w:tcPr>
            <w:tcW w:w="3829" w:type="dxa"/>
            <w:gridSpan w:val="3"/>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Property &amp; Casualty insurance</w:t>
            </w:r>
          </w:p>
        </w:tc>
        <w:tc>
          <w:tcPr>
            <w:tcW w:w="252"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w:t>
            </w:r>
          </w:p>
        </w:tc>
        <w:tc>
          <w:tcPr>
            <w:tcW w:w="788"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308.8 </w:t>
            </w:r>
          </w:p>
        </w:tc>
        <w:tc>
          <w:tcPr>
            <w:tcW w:w="336" w:type="dxa"/>
            <w:tcBorders>
              <w:top w:val="single" w:sz="8"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w:t>
            </w:r>
          </w:p>
        </w:tc>
        <w:tc>
          <w:tcPr>
            <w:tcW w:w="788"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227.2 </w:t>
            </w:r>
          </w:p>
        </w:tc>
        <w:tc>
          <w:tcPr>
            <w:tcW w:w="336" w:type="dxa"/>
            <w:tcBorders>
              <w:top w:val="single" w:sz="8"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w:t>
            </w:r>
          </w:p>
        </w:tc>
        <w:tc>
          <w:tcPr>
            <w:tcW w:w="728"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601.6 </w:t>
            </w:r>
          </w:p>
        </w:tc>
        <w:tc>
          <w:tcPr>
            <w:tcW w:w="310" w:type="dxa"/>
            <w:tcBorders>
              <w:top w:val="single" w:sz="8"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w:t>
            </w:r>
          </w:p>
        </w:tc>
        <w:tc>
          <w:tcPr>
            <w:tcW w:w="728"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450.4 </w:t>
            </w:r>
          </w:p>
        </w:tc>
        <w:tc>
          <w:tcPr>
            <w:tcW w:w="366" w:type="dxa"/>
            <w:tcBorders>
              <w:top w:val="single" w:sz="8"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Percentage of total Revenue</w:t>
            </w:r>
          </w:p>
        </w:tc>
        <w:tc>
          <w:tcPr>
            <w:tcW w:w="1040"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97.4 </w:t>
            </w:r>
          </w:p>
        </w:tc>
        <w:tc>
          <w:tcPr>
            <w:tcW w:w="33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c>
          <w:tcPr>
            <w:tcW w:w="363"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90.3 </w:t>
            </w:r>
          </w:p>
        </w:tc>
        <w:tc>
          <w:tcPr>
            <w:tcW w:w="33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96.0 </w:t>
            </w:r>
          </w:p>
        </w:tc>
        <w:tc>
          <w:tcPr>
            <w:tcW w:w="310"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c>
          <w:tcPr>
            <w:tcW w:w="336"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87.3 </w:t>
            </w:r>
          </w:p>
        </w:tc>
        <w:tc>
          <w:tcPr>
            <w:tcW w:w="36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r>
      <w:tr>
        <w:trPr/>
        <w:tc>
          <w:tcPr>
            <w:tcW w:w="382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Health insurance</w:t>
            </w:r>
          </w:p>
        </w:tc>
        <w:tc>
          <w:tcPr>
            <w:tcW w:w="1040"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2.7 </w:t>
            </w:r>
          </w:p>
        </w:tc>
        <w:tc>
          <w:tcPr>
            <w:tcW w:w="336"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18.1 </w:t>
            </w:r>
          </w:p>
        </w:tc>
        <w:tc>
          <w:tcPr>
            <w:tcW w:w="336"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13.9 </w:t>
            </w:r>
          </w:p>
        </w:tc>
        <w:tc>
          <w:tcPr>
            <w:tcW w:w="310"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52.0 </w:t>
            </w:r>
          </w:p>
        </w:tc>
        <w:tc>
          <w:tcPr>
            <w:tcW w:w="366"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Percentage of total Revenue</w:t>
            </w:r>
          </w:p>
        </w:tc>
        <w:tc>
          <w:tcPr>
            <w:tcW w:w="1040"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0.9 </w:t>
            </w:r>
          </w:p>
        </w:tc>
        <w:tc>
          <w:tcPr>
            <w:tcW w:w="33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c>
          <w:tcPr>
            <w:tcW w:w="363"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7.2 </w:t>
            </w:r>
          </w:p>
        </w:tc>
        <w:tc>
          <w:tcPr>
            <w:tcW w:w="33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2.2 </w:t>
            </w:r>
          </w:p>
        </w:tc>
        <w:tc>
          <w:tcPr>
            <w:tcW w:w="310"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c>
          <w:tcPr>
            <w:tcW w:w="336"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10.1 </w:t>
            </w:r>
          </w:p>
        </w:tc>
        <w:tc>
          <w:tcPr>
            <w:tcW w:w="36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r>
      <w:tr>
        <w:trPr/>
        <w:tc>
          <w:tcPr>
            <w:tcW w:w="382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Life insurance</w:t>
            </w:r>
          </w:p>
        </w:tc>
        <w:tc>
          <w:tcPr>
            <w:tcW w:w="1040"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5.1 </w:t>
            </w:r>
          </w:p>
        </w:tc>
        <w:tc>
          <w:tcPr>
            <w:tcW w:w="336"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5.2 </w:t>
            </w:r>
          </w:p>
        </w:tc>
        <w:tc>
          <w:tcPr>
            <w:tcW w:w="336"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11.0 </w:t>
            </w:r>
          </w:p>
        </w:tc>
        <w:tc>
          <w:tcPr>
            <w:tcW w:w="310"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10.8 </w:t>
            </w:r>
          </w:p>
        </w:tc>
        <w:tc>
          <w:tcPr>
            <w:tcW w:w="366"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Percentage of total Revenue</w:t>
            </w:r>
          </w:p>
        </w:tc>
        <w:tc>
          <w:tcPr>
            <w:tcW w:w="1040"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1.6 </w:t>
            </w:r>
          </w:p>
        </w:tc>
        <w:tc>
          <w:tcPr>
            <w:tcW w:w="33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c>
          <w:tcPr>
            <w:tcW w:w="363"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2.1 </w:t>
            </w:r>
          </w:p>
        </w:tc>
        <w:tc>
          <w:tcPr>
            <w:tcW w:w="33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1.7 </w:t>
            </w:r>
          </w:p>
        </w:tc>
        <w:tc>
          <w:tcPr>
            <w:tcW w:w="310"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c>
          <w:tcPr>
            <w:tcW w:w="336"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2.1 </w:t>
            </w:r>
          </w:p>
        </w:tc>
        <w:tc>
          <w:tcPr>
            <w:tcW w:w="36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r>
      <w:tr>
        <w:trPr/>
        <w:tc>
          <w:tcPr>
            <w:tcW w:w="382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Other</w:t>
            </w:r>
          </w:p>
        </w:tc>
        <w:tc>
          <w:tcPr>
            <w:tcW w:w="1040"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0.2 </w:t>
            </w:r>
          </w:p>
        </w:tc>
        <w:tc>
          <w:tcPr>
            <w:tcW w:w="336"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1.2 </w:t>
            </w:r>
          </w:p>
        </w:tc>
        <w:tc>
          <w:tcPr>
            <w:tcW w:w="336"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0.4 </w:t>
            </w:r>
          </w:p>
        </w:tc>
        <w:tc>
          <w:tcPr>
            <w:tcW w:w="310"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2.7 </w:t>
            </w:r>
          </w:p>
        </w:tc>
        <w:tc>
          <w:tcPr>
            <w:tcW w:w="366"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Percentage of total Revenue</w:t>
            </w:r>
          </w:p>
        </w:tc>
        <w:tc>
          <w:tcPr>
            <w:tcW w:w="1040"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0.1 </w:t>
            </w:r>
          </w:p>
        </w:tc>
        <w:tc>
          <w:tcPr>
            <w:tcW w:w="33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c>
          <w:tcPr>
            <w:tcW w:w="363"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0.4 </w:t>
            </w:r>
          </w:p>
        </w:tc>
        <w:tc>
          <w:tcPr>
            <w:tcW w:w="33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0.1 </w:t>
            </w:r>
          </w:p>
        </w:tc>
        <w:tc>
          <w:tcPr>
            <w:tcW w:w="310"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c>
          <w:tcPr>
            <w:tcW w:w="336"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0.5 </w:t>
            </w:r>
          </w:p>
        </w:tc>
        <w:tc>
          <w:tcPr>
            <w:tcW w:w="36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r>
      <w:tr>
        <w:trPr/>
        <w:tc>
          <w:tcPr>
            <w:tcW w:w="3829" w:type="dxa"/>
            <w:gridSpan w:val="3"/>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Total Revenue</w:t>
            </w:r>
          </w:p>
        </w:tc>
        <w:tc>
          <w:tcPr>
            <w:tcW w:w="252"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w:t>
            </w:r>
          </w:p>
        </w:tc>
        <w:tc>
          <w:tcPr>
            <w:tcW w:w="788"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316.9 </w:t>
            </w:r>
          </w:p>
        </w:tc>
        <w:tc>
          <w:tcPr>
            <w:tcW w:w="336"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4" w:space="0" w:color="EE4921"/>
              <w:bottom w:val="single" w:sz="4" w:space="0" w:color="EE4921"/>
            </w:tcBorders>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w:t>
            </w:r>
          </w:p>
        </w:tc>
        <w:tc>
          <w:tcPr>
            <w:tcW w:w="788"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251.6 </w:t>
            </w:r>
          </w:p>
        </w:tc>
        <w:tc>
          <w:tcPr>
            <w:tcW w:w="336"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w:t>
            </w:r>
          </w:p>
        </w:tc>
        <w:tc>
          <w:tcPr>
            <w:tcW w:w="728"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626.9 </w:t>
            </w:r>
          </w:p>
        </w:tc>
        <w:tc>
          <w:tcPr>
            <w:tcW w:w="310"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EE4921"/>
              <w:bottom w:val="single" w:sz="4" w:space="0" w:color="EE4921"/>
            </w:tcBorders>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w:t>
            </w:r>
          </w:p>
        </w:tc>
        <w:tc>
          <w:tcPr>
            <w:tcW w:w="728"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515.9 </w:t>
            </w:r>
          </w:p>
        </w:tc>
        <w:tc>
          <w:tcPr>
            <w:tcW w:w="366"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center"/>
        <w:rPr/>
      </w:pPr>
      <w:r>
        <w:rPr/>
      </w:r>
    </w:p>
    <w:tbl>
      <w:tblPr>
        <w:tblW w:w="10205" w:type="dxa"/>
        <w:jc w:val="center"/>
        <w:tblInd w:w="0" w:type="dxa"/>
        <w:tblLayout w:type="fixed"/>
        <w:tblCellMar>
          <w:top w:w="28" w:type="dxa"/>
          <w:left w:w="28" w:type="dxa"/>
          <w:bottom w:w="28" w:type="dxa"/>
          <w:right w:w="28" w:type="dxa"/>
        </w:tblCellMar>
      </w:tblPr>
      <w:tblGrid>
        <w:gridCol w:w="1437"/>
        <w:gridCol w:w="1194"/>
        <w:gridCol w:w="1198"/>
        <w:gridCol w:w="252"/>
        <w:gridCol w:w="788"/>
        <w:gridCol w:w="336"/>
        <w:gridCol w:w="121"/>
        <w:gridCol w:w="121"/>
        <w:gridCol w:w="121"/>
        <w:gridCol w:w="252"/>
        <w:gridCol w:w="788"/>
        <w:gridCol w:w="336"/>
        <w:gridCol w:w="109"/>
        <w:gridCol w:w="109"/>
        <w:gridCol w:w="109"/>
        <w:gridCol w:w="233"/>
        <w:gridCol w:w="728"/>
        <w:gridCol w:w="310"/>
        <w:gridCol w:w="112"/>
        <w:gridCol w:w="112"/>
        <w:gridCol w:w="112"/>
        <w:gridCol w:w="233"/>
        <w:gridCol w:w="728"/>
        <w:gridCol w:w="366"/>
      </w:tblGrid>
      <w:tr>
        <w:trPr/>
        <w:tc>
          <w:tcPr>
            <w:tcW w:w="143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Revenue by Platform Model</w:t>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24"/>
              </w:rPr>
            </w:pPr>
            <w:r>
              <w:rPr>
                <w:rFonts w:ascii="Times New Roman;serif" w:hAnsi="Times New Roman;serif"/>
                <w:b/>
                <w:color w:val="535353"/>
                <w:sz w:val="2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24"/>
              </w:rPr>
            </w:pPr>
            <w:r>
              <w:rPr>
                <w:rFonts w:ascii="Times New Roman;serif" w:hAnsi="Times New Roman;serif"/>
                <w:b/>
                <w:color w:val="535353"/>
                <w:sz w:val="24"/>
              </w:rPr>
              <w:t>Six Months Ended June 30,</w:t>
            </w:r>
          </w:p>
        </w:tc>
      </w:tr>
      <w:tr>
        <w:trPr/>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535353"/>
                <w:sz w:val="24"/>
              </w:rPr>
            </w:pPr>
            <w:r>
              <w:rPr>
                <w:rFonts w:ascii="Times New Roman;serif" w:hAnsi="Times New Roman;serif"/>
                <w:b/>
                <w:color w:val="535353"/>
                <w:sz w:val="24"/>
              </w:rPr>
              <w:t>(in millions, except percentages, unaudited)</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24"/>
              </w:rPr>
            </w:pPr>
            <w:r>
              <w:rPr>
                <w:rFonts w:ascii="Times New Roman;serif" w:hAnsi="Times New Roman;serif"/>
                <w:b/>
                <w:color w:val="535353"/>
                <w:sz w:val="24"/>
              </w:rPr>
              <w:t>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24"/>
              </w:rPr>
            </w:pPr>
            <w:r>
              <w:rPr>
                <w:rFonts w:ascii="Times New Roman;serif" w:hAnsi="Times New Roman;serif"/>
                <w:b/>
                <w:color w:val="535353"/>
                <w:sz w:val="2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24"/>
              </w:rPr>
            </w:pPr>
            <w:r>
              <w:rPr>
                <w:rFonts w:ascii="Times New Roman;serif" w:hAnsi="Times New Roman;serif"/>
                <w:b/>
                <w:color w:val="535353"/>
                <w:sz w:val="24"/>
              </w:rPr>
              <w:t>2026</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24"/>
              </w:rPr>
            </w:pPr>
            <w:r>
              <w:rPr>
                <w:rFonts w:ascii="Times New Roman;serif" w:hAnsi="Times New Roman;serif"/>
                <w:b/>
                <w:color w:val="535353"/>
                <w:sz w:val="24"/>
              </w:rPr>
              <w:t>2025</w:t>
            </w:r>
          </w:p>
        </w:tc>
      </w:tr>
      <w:tr>
        <w:trPr/>
        <w:tc>
          <w:tcPr>
            <w:tcW w:w="3829" w:type="dxa"/>
            <w:gridSpan w:val="3"/>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Open Marketplace transactions</w:t>
            </w:r>
          </w:p>
        </w:tc>
        <w:tc>
          <w:tcPr>
            <w:tcW w:w="252"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w:t>
            </w:r>
          </w:p>
        </w:tc>
        <w:tc>
          <w:tcPr>
            <w:tcW w:w="788"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312.0 </w:t>
            </w:r>
          </w:p>
        </w:tc>
        <w:tc>
          <w:tcPr>
            <w:tcW w:w="336" w:type="dxa"/>
            <w:tcBorders>
              <w:top w:val="single" w:sz="8"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w:t>
            </w:r>
          </w:p>
        </w:tc>
        <w:tc>
          <w:tcPr>
            <w:tcW w:w="788"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245.3 </w:t>
            </w:r>
          </w:p>
        </w:tc>
        <w:tc>
          <w:tcPr>
            <w:tcW w:w="336" w:type="dxa"/>
            <w:tcBorders>
              <w:top w:val="single" w:sz="8"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w:t>
            </w:r>
          </w:p>
        </w:tc>
        <w:tc>
          <w:tcPr>
            <w:tcW w:w="728"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615.8 </w:t>
            </w:r>
          </w:p>
        </w:tc>
        <w:tc>
          <w:tcPr>
            <w:tcW w:w="310" w:type="dxa"/>
            <w:tcBorders>
              <w:top w:val="single" w:sz="8"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w:t>
            </w:r>
          </w:p>
        </w:tc>
        <w:tc>
          <w:tcPr>
            <w:tcW w:w="728"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503.7 </w:t>
            </w:r>
          </w:p>
        </w:tc>
        <w:tc>
          <w:tcPr>
            <w:tcW w:w="366" w:type="dxa"/>
            <w:tcBorders>
              <w:top w:val="single" w:sz="8"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Percentage of total Revenue</w:t>
            </w:r>
          </w:p>
        </w:tc>
        <w:tc>
          <w:tcPr>
            <w:tcW w:w="1040"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98.5 </w:t>
            </w:r>
          </w:p>
        </w:tc>
        <w:tc>
          <w:tcPr>
            <w:tcW w:w="33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c>
          <w:tcPr>
            <w:tcW w:w="363"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97.5 </w:t>
            </w:r>
          </w:p>
        </w:tc>
        <w:tc>
          <w:tcPr>
            <w:tcW w:w="33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98.2 </w:t>
            </w:r>
          </w:p>
        </w:tc>
        <w:tc>
          <w:tcPr>
            <w:tcW w:w="310"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c>
          <w:tcPr>
            <w:tcW w:w="336"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97.6 </w:t>
            </w:r>
          </w:p>
        </w:tc>
        <w:tc>
          <w:tcPr>
            <w:tcW w:w="36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r>
      <w:tr>
        <w:trPr/>
        <w:tc>
          <w:tcPr>
            <w:tcW w:w="382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Private Marketplace transactions</w:t>
            </w:r>
          </w:p>
        </w:tc>
        <w:tc>
          <w:tcPr>
            <w:tcW w:w="1040"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4.9 </w:t>
            </w:r>
          </w:p>
        </w:tc>
        <w:tc>
          <w:tcPr>
            <w:tcW w:w="336"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6.3 </w:t>
            </w:r>
          </w:p>
        </w:tc>
        <w:tc>
          <w:tcPr>
            <w:tcW w:w="336"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11.1 </w:t>
            </w:r>
          </w:p>
        </w:tc>
        <w:tc>
          <w:tcPr>
            <w:tcW w:w="310"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12.2 </w:t>
            </w:r>
          </w:p>
        </w:tc>
        <w:tc>
          <w:tcPr>
            <w:tcW w:w="366"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Percentage of total Revenue</w:t>
            </w:r>
          </w:p>
        </w:tc>
        <w:tc>
          <w:tcPr>
            <w:tcW w:w="1040"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1.5 </w:t>
            </w:r>
          </w:p>
        </w:tc>
        <w:tc>
          <w:tcPr>
            <w:tcW w:w="33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c>
          <w:tcPr>
            <w:tcW w:w="363"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2.5 </w:t>
            </w:r>
          </w:p>
        </w:tc>
        <w:tc>
          <w:tcPr>
            <w:tcW w:w="33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1.8 </w:t>
            </w:r>
          </w:p>
        </w:tc>
        <w:tc>
          <w:tcPr>
            <w:tcW w:w="310"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c>
          <w:tcPr>
            <w:tcW w:w="336"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2.4 </w:t>
            </w:r>
          </w:p>
        </w:tc>
        <w:tc>
          <w:tcPr>
            <w:tcW w:w="36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w:t>
            </w:r>
          </w:p>
        </w:tc>
      </w:tr>
      <w:tr>
        <w:trPr/>
        <w:tc>
          <w:tcPr>
            <w:tcW w:w="3829" w:type="dxa"/>
            <w:gridSpan w:val="3"/>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Total Revenue</w:t>
            </w:r>
          </w:p>
        </w:tc>
        <w:tc>
          <w:tcPr>
            <w:tcW w:w="252"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w:t>
            </w:r>
          </w:p>
        </w:tc>
        <w:tc>
          <w:tcPr>
            <w:tcW w:w="788"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316.9 </w:t>
            </w:r>
          </w:p>
        </w:tc>
        <w:tc>
          <w:tcPr>
            <w:tcW w:w="336"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4" w:space="0" w:color="EE4921"/>
              <w:bottom w:val="single" w:sz="4" w:space="0" w:color="EE4921"/>
            </w:tcBorders>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w:t>
            </w:r>
          </w:p>
        </w:tc>
        <w:tc>
          <w:tcPr>
            <w:tcW w:w="788"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251.6 </w:t>
            </w:r>
          </w:p>
        </w:tc>
        <w:tc>
          <w:tcPr>
            <w:tcW w:w="336"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w:t>
            </w:r>
          </w:p>
        </w:tc>
        <w:tc>
          <w:tcPr>
            <w:tcW w:w="728"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626.9 </w:t>
            </w:r>
          </w:p>
        </w:tc>
        <w:tc>
          <w:tcPr>
            <w:tcW w:w="310"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4" w:space="0" w:color="EE4921"/>
              <w:bottom w:val="single" w:sz="4" w:space="0" w:color="EE4921"/>
            </w:tcBorders>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4"/>
              </w:rPr>
            </w:pPr>
            <w:r>
              <w:rPr>
                <w:rFonts w:ascii="Times New Roman;serif" w:hAnsi="Times New Roman;serif"/>
                <w:b w:val="false"/>
                <w:color w:val="535353"/>
                <w:sz w:val="24"/>
              </w:rPr>
              <w:t>$</w:t>
            </w:r>
          </w:p>
        </w:tc>
        <w:tc>
          <w:tcPr>
            <w:tcW w:w="728"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4"/>
              </w:rPr>
            </w:pPr>
            <w:r>
              <w:rPr>
                <w:rFonts w:ascii="Times New Roman;serif" w:hAnsi="Times New Roman;serif"/>
                <w:b w:val="false"/>
                <w:color w:val="535353"/>
                <w:sz w:val="24"/>
              </w:rPr>
              <w:t>515.9 </w:t>
            </w:r>
          </w:p>
        </w:tc>
        <w:tc>
          <w:tcPr>
            <w:tcW w:w="366"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14325" cy="266700"/>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8"/>
                    <a:stretch>
                      <a:fillRect/>
                    </a:stretch>
                  </pic:blipFill>
                  <pic:spPr bwMode="auto">
                    <a:xfrm>
                      <a:off x="0" y="0"/>
                      <a:ext cx="314325" cy="266700"/>
                    </a:xfrm>
                    <a:prstGeom prst="rect">
                      <a:avLst/>
                    </a:prstGeom>
                  </pic:spPr>
                </pic:pic>
              </a:graphicData>
            </a:graphic>
          </wp:inline>
        </w:drawing>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51180"/>
                <wp:effectExtent l="0" t="0" r="0" b="0"/>
                <wp:wrapNone/>
                <wp:docPr id="26" name="Frame19"/>
                <a:graphic xmlns:a="http://schemas.openxmlformats.org/drawingml/2006/main">
                  <a:graphicData uri="http://schemas.microsoft.com/office/word/2010/wordprocessingShape">
                    <wps:wsp>
                      <wps:cNvSpPr txBox="1"/>
                      <wps:spPr>
                        <a:xfrm>
                          <a:off x="0" y="0"/>
                          <a:ext cx="6480175" cy="551180"/>
                        </a:xfrm>
                        <a:prstGeom prst="rect"/>
                        <a:solidFill>
                          <a:srgbClr val="FFFFFF"/>
                        </a:solidFill>
                      </wps:spPr>
                      <wps:txb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4pt;mso-wrap-distance-left:0pt;mso-wrap-distance-right:0pt;mso-wrap-distance-top:0pt;mso-wrap-distance-bottom:0pt;margin-top:0pt;mso-position-vertical:top;mso-position-vertical-relative:text;margin-left:-457.25pt;mso-position-horizontal:left;mso-position-horizontal-relative:text">
                <v:textbo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5</w:t>
                      </w:r>
                    </w:p>
                  </w:txbxContent>
                </v:textbox>
                <w10:wrap type="none"/>
              </v:rect>
            </w:pict>
          </mc:Fallback>
        </mc:AlternateContent>
      </w:r>
    </w:p>
    <w:p>
      <w:pPr>
        <w:pStyle w:val="TextBody"/>
        <w:bidi w:val="0"/>
        <w:spacing w:lineRule="auto" w:line="288" w:before="240" w:after="120"/>
        <w:jc w:val="center"/>
        <w:rPr/>
      </w:pPr>
      <w:r>
        <w:rPr>
          <w:rFonts w:ascii="Times New Roman;serif" w:hAnsi="Times New Roman;serif"/>
          <w:b/>
          <w:color w:val="535353"/>
          <w:sz w:val="48"/>
        </w:rPr>
        <w:t>Contribution</w:t>
      </w:r>
      <w:r>
        <w:rPr>
          <w:rFonts w:ascii="Times New Roman;serif" w:hAnsi="Times New Roman;serif"/>
          <w:b/>
          <w:color w:val="535353"/>
          <w:sz w:val="23"/>
        </w:rPr>
        <w:t>1</w:t>
      </w:r>
      <w:r>
        <w:rPr>
          <w:color w:val="535353"/>
        </w:rPr>
        <w:t xml:space="preserve"> </w:t>
      </w:r>
      <w:r>
        <w:rPr>
          <w:rFonts w:ascii="Times New Roman;serif" w:hAnsi="Times New Roman;serif"/>
          <w:b/>
          <w:color w:val="535353"/>
          <w:sz w:val="48"/>
        </w:rPr>
        <w:t>&amp; Contribution Margin</w:t>
      </w:r>
    </w:p>
    <w:p>
      <w:pPr>
        <w:pStyle w:val="TextBody"/>
        <w:bidi w:val="0"/>
        <w:spacing w:before="240" w:after="283"/>
        <w:jc w:val="center"/>
        <w:rPr/>
      </w:pPr>
      <w:r>
        <w:rPr/>
        <w:drawing>
          <wp:inline distT="0" distB="0" distL="0" distR="0">
            <wp:extent cx="6858000" cy="2238375"/>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6858000" cy="2238375"/>
                    </a:xfrm>
                    <a:prstGeom prst="rect">
                      <a:avLst/>
                    </a:prstGeom>
                  </pic:spPr>
                </pic:pic>
              </a:graphicData>
            </a:graphic>
          </wp:inline>
        </w:drawing>
      </w:r>
    </w:p>
    <w:p>
      <w:pPr>
        <w:pStyle w:val="TextBody"/>
        <w:bidi w:val="0"/>
        <w:spacing w:before="60" w:after="283"/>
        <w:ind w:left="0" w:right="0" w:firstLine="180"/>
        <w:jc w:val="left"/>
        <w:rPr/>
      </w:pPr>
      <w:r>
        <w:rPr/>
      </w:r>
    </w:p>
    <w:p>
      <w:pPr>
        <w:pStyle w:val="TextBody"/>
        <w:bidi w:val="0"/>
        <w:spacing w:lineRule="auto" w:line="288" w:before="0" w:after="0"/>
        <w:jc w:val="center"/>
        <w:rPr/>
      </w:pPr>
      <w:r>
        <w:rPr>
          <w:rFonts w:ascii="Times New Roman;serif" w:hAnsi="Times New Roman;serif"/>
          <w:b/>
          <w:color w:val="535353"/>
          <w:sz w:val="48"/>
        </w:rPr>
        <w:t>Adjusted EBITDA</w:t>
      </w:r>
      <w:r>
        <w:rPr>
          <w:rFonts w:ascii="Times New Roman;serif" w:hAnsi="Times New Roman;serif"/>
          <w:b/>
          <w:color w:val="535353"/>
          <w:sz w:val="23"/>
        </w:rPr>
        <w:t>2</w:t>
      </w:r>
    </w:p>
    <w:p>
      <w:pPr>
        <w:pStyle w:val="TextBody"/>
        <w:bidi w:val="0"/>
        <w:spacing w:before="0" w:after="0"/>
        <w:jc w:val="center"/>
        <w:rPr/>
      </w:pPr>
      <w:r>
        <w:rPr/>
        <w:drawing>
          <wp:inline distT="0" distB="0" distL="0" distR="0">
            <wp:extent cx="4114800" cy="2743200"/>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0"/>
                    <a:stretch>
                      <a:fillRect/>
                    </a:stretch>
                  </pic:blipFill>
                  <pic:spPr bwMode="auto">
                    <a:xfrm>
                      <a:off x="0" y="0"/>
                      <a:ext cx="4114800" cy="2743200"/>
                    </a:xfrm>
                    <a:prstGeom prst="rect">
                      <a:avLst/>
                    </a:prstGeom>
                  </pic:spPr>
                </pic:pic>
              </a:graphicData>
            </a:graphic>
          </wp:inline>
        </w:drawing>
      </w:r>
      <w:r>
        <w:rPr/>
        <w:drawing>
          <wp:inline distT="0" distB="0" distL="0" distR="0">
            <wp:extent cx="4114800" cy="274320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1"/>
                    <a:stretch>
                      <a:fillRect/>
                    </a:stretch>
                  </pic:blipFill>
                  <pic:spPr bwMode="auto">
                    <a:xfrm>
                      <a:off x="0" y="0"/>
                      <a:ext cx="4114800" cy="2743200"/>
                    </a:xfrm>
                    <a:prstGeom prst="rect">
                      <a:avLst/>
                    </a:prstGeom>
                  </pic:spPr>
                </pic:pic>
              </a:graphicData>
            </a:graphic>
          </wp:inline>
        </w:drawing>
      </w:r>
    </w:p>
    <w:p>
      <w:pPr>
        <w:pStyle w:val="TextBody"/>
        <w:bidi w:val="0"/>
        <w:spacing w:lineRule="auto" w:line="288" w:before="0" w:after="0"/>
        <w:jc w:val="left"/>
        <w:rPr/>
      </w:pPr>
      <w:r>
        <w:rPr>
          <w:rFonts w:ascii="Times New Roman;serif" w:hAnsi="Times New Roman;serif"/>
          <w:b w:val="false"/>
          <w:color w:val="707070"/>
          <w:sz w:val="20"/>
        </w:rPr>
        <w:br/>
      </w:r>
      <w:r>
        <w:rPr>
          <w:rFonts w:ascii="Times New Roman;serif" w:hAnsi="Times New Roman;serif"/>
          <w:b w:val="false"/>
          <w:color w:val="707070"/>
          <w:sz w:val="13"/>
        </w:rPr>
        <w:t xml:space="preserve">1 </w:t>
      </w:r>
      <w:r>
        <w:rPr>
          <w:rFonts w:ascii="Times New Roman;serif" w:hAnsi="Times New Roman;serif"/>
          <w:b w:val="false"/>
          <w:color w:val="707070"/>
          <w:sz w:val="20"/>
        </w:rPr>
        <w:t xml:space="preserve">See page </w:t>
      </w:r>
      <w:hyperlink w:anchor="ibdab9cafdc68490fbc94c6d0922421a5_6933">
        <w:r>
          <w:rPr>
            <w:rStyle w:val="InternetLink"/>
            <w:rFonts w:ascii="Times New Roman;serif" w:hAnsi="Times New Roman;serif"/>
            <w:b w:val="false"/>
            <w:color w:val="707070"/>
            <w:sz w:val="20"/>
            <w:u w:val="single"/>
          </w:rPr>
          <w:t>11</w:t>
        </w:r>
      </w:hyperlink>
      <w:r>
        <w:rPr>
          <w:color w:val="707070"/>
        </w:rPr>
        <w:t xml:space="preserve"> </w:t>
      </w:r>
      <w:r>
        <w:rPr>
          <w:rFonts w:ascii="Times New Roman;serif" w:hAnsi="Times New Roman;serif"/>
          <w:b w:val="false"/>
          <w:color w:val="707070"/>
          <w:sz w:val="20"/>
        </w:rPr>
        <w:t>of this supplement for additional information regarding Contribution, a non-GAAP financial measure.</w:t>
      </w:r>
    </w:p>
    <w:p>
      <w:pPr>
        <w:pStyle w:val="TextBody"/>
        <w:bidi w:val="0"/>
        <w:spacing w:lineRule="auto" w:line="288" w:before="0" w:after="0"/>
        <w:jc w:val="left"/>
        <w:rPr/>
      </w:pPr>
      <w:r>
        <w:rPr>
          <w:rFonts w:ascii="Times New Roman;serif" w:hAnsi="Times New Roman;serif"/>
          <w:b w:val="false"/>
          <w:color w:val="707070"/>
          <w:sz w:val="13"/>
        </w:rPr>
        <w:t xml:space="preserve">2 </w:t>
      </w:r>
      <w:r>
        <w:rPr>
          <w:rFonts w:ascii="Times New Roman;serif" w:hAnsi="Times New Roman;serif"/>
          <w:b w:val="false"/>
          <w:color w:val="707070"/>
          <w:sz w:val="20"/>
        </w:rPr>
        <w:t xml:space="preserve">See page </w:t>
      </w:r>
      <w:hyperlink w:anchor="ibdab9cafdc68490fbc94c6d0922421a5_6934">
        <w:r>
          <w:rPr>
            <w:rStyle w:val="InternetLink"/>
            <w:rFonts w:ascii="Times New Roman;serif" w:hAnsi="Times New Roman;serif"/>
            <w:b w:val="false"/>
            <w:color w:val="707070"/>
            <w:sz w:val="20"/>
            <w:u w:val="single"/>
          </w:rPr>
          <w:t>12</w:t>
        </w:r>
      </w:hyperlink>
      <w:r>
        <w:rPr>
          <w:color w:val="707070"/>
        </w:rPr>
        <w:t xml:space="preserve"> </w:t>
      </w:r>
      <w:r>
        <w:rPr>
          <w:rFonts w:ascii="Times New Roman;serif" w:hAnsi="Times New Roman;serif"/>
          <w:b w:val="false"/>
          <w:color w:val="707070"/>
          <w:sz w:val="20"/>
        </w:rPr>
        <w:t>of this supplement for additional information regarding Adjusted EBITDA, a non-GAAP financial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14325" cy="26670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314325" cy="266700"/>
                    </a:xfrm>
                    <a:prstGeom prst="rect">
                      <a:avLst/>
                    </a:prstGeom>
                  </pic:spPr>
                </pic:pic>
              </a:graphicData>
            </a:graphic>
          </wp:inline>
        </w:drawing>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51180"/>
                <wp:effectExtent l="0" t="0" r="0" b="0"/>
                <wp:wrapNone/>
                <wp:docPr id="31" name="Frame20"/>
                <a:graphic xmlns:a="http://schemas.openxmlformats.org/drawingml/2006/main">
                  <a:graphicData uri="http://schemas.microsoft.com/office/word/2010/wordprocessingShape">
                    <wps:wsp>
                      <wps:cNvSpPr txBox="1"/>
                      <wps:spPr>
                        <a:xfrm>
                          <a:off x="0" y="0"/>
                          <a:ext cx="6480175" cy="551180"/>
                        </a:xfrm>
                        <a:prstGeom prst="rect"/>
                        <a:solidFill>
                          <a:srgbClr val="FFFFFF"/>
                        </a:solidFill>
                      </wps:spPr>
                      <wps:txb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4pt;mso-wrap-distance-left:0pt;mso-wrap-distance-right:0pt;mso-wrap-distance-top:0pt;mso-wrap-distance-bottom:0pt;margin-top:0pt;mso-position-vertical:top;mso-position-vertical-relative:text;margin-left:-457.25pt;mso-position-horizontal:left;mso-position-horizontal-relative:text">
                <v:textbo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6</w:t>
                      </w:r>
                    </w:p>
                  </w:txbxContent>
                </v:textbox>
                <w10:wrap type="none"/>
              </v:rect>
            </w:pict>
          </mc:Fallback>
        </mc:AlternateContent>
      </w:r>
    </w:p>
    <w:p>
      <w:pPr>
        <w:pStyle w:val="TextBody"/>
        <w:bidi w:val="0"/>
        <w:spacing w:lineRule="auto" w:line="288" w:before="240" w:after="120"/>
        <w:jc w:val="center"/>
        <w:rPr>
          <w:rFonts w:ascii="Times New Roman;serif" w:hAnsi="Times New Roman;serif"/>
          <w:b/>
          <w:color w:val="535353"/>
          <w:sz w:val="48"/>
        </w:rPr>
      </w:pPr>
      <w:r>
        <w:rPr>
          <w:rFonts w:ascii="Times New Roman;serif" w:hAnsi="Times New Roman;serif"/>
          <w:b/>
          <w:color w:val="535353"/>
          <w:sz w:val="48"/>
        </w:rPr>
        <w:t>Share Repurchase Overview</w:t>
      </w:r>
    </w:p>
    <w:p>
      <w:pPr>
        <w:pStyle w:val="TextBody"/>
        <w:bidi w:val="0"/>
        <w:spacing w:before="240" w:after="120"/>
        <w:jc w:val="center"/>
        <w:rPr/>
      </w:pPr>
      <w:r>
        <w:rPr/>
        <w:drawing>
          <wp:inline distT="0" distB="0" distL="0" distR="0">
            <wp:extent cx="9144000" cy="3505200"/>
            <wp:effectExtent l="0" t="0" r="0" b="0"/>
            <wp:docPr id="3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2" descr=""/>
                    <pic:cNvPicPr>
                      <a:picLocks noChangeAspect="1" noChangeArrowheads="1"/>
                    </pic:cNvPicPr>
                  </pic:nvPicPr>
                  <pic:blipFill>
                    <a:blip r:embed="rId13"/>
                    <a:stretch>
                      <a:fillRect/>
                    </a:stretch>
                  </pic:blipFill>
                  <pic:spPr bwMode="auto">
                    <a:xfrm>
                      <a:off x="0" y="0"/>
                      <a:ext cx="9144000" cy="3505200"/>
                    </a:xfrm>
                    <a:prstGeom prst="rect">
                      <a:avLst/>
                    </a:prstGeom>
                  </pic:spPr>
                </pic:pic>
              </a:graphicData>
            </a:graphic>
          </wp:inline>
        </w:drawing>
      </w:r>
    </w:p>
    <w:p>
      <w:pPr>
        <w:pStyle w:val="TextBody"/>
        <w:bidi w:val="0"/>
        <w:spacing w:before="240" w:after="12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707070"/>
          <w:sz w:val="13"/>
        </w:rPr>
        <w:t>1</w:t>
      </w:r>
      <w:r>
        <w:rPr>
          <w:color w:val="707070"/>
        </w:rPr>
        <w:t xml:space="preserve"> </w:t>
      </w:r>
      <w:r>
        <w:rPr>
          <w:rFonts w:ascii="Times New Roman;serif" w:hAnsi="Times New Roman;serif"/>
          <w:b w:val="false"/>
          <w:color w:val="707070"/>
          <w:sz w:val="20"/>
        </w:rPr>
        <w:t>Represents shares repurchased as a percentage of the 67.9 million shares outstanding as of July 31, 2025.</w:t>
      </w:r>
    </w:p>
    <w:p>
      <w:pPr>
        <w:pStyle w:val="TextBody"/>
        <w:bidi w:val="0"/>
        <w:spacing w:lineRule="auto" w:line="288"/>
        <w:jc w:val="left"/>
        <w:rPr/>
      </w:pPr>
      <w:r>
        <w:rPr>
          <w:rFonts w:ascii="Times New Roman;serif" w:hAnsi="Times New Roman;serif"/>
          <w:b w:val="false"/>
          <w:color w:val="707070"/>
          <w:sz w:val="13"/>
        </w:rPr>
        <w:t>2</w:t>
      </w:r>
      <w:r>
        <w:rPr>
          <w:color w:val="707070"/>
        </w:rPr>
        <w:t xml:space="preserve"> </w:t>
      </w:r>
      <w:r>
        <w:rPr>
          <w:rFonts w:ascii="Times New Roman;serif" w:hAnsi="Times New Roman;serif"/>
          <w:b w:val="false"/>
          <w:color w:val="707070"/>
          <w:sz w:val="20"/>
        </w:rPr>
        <w:t>Average price derived as consideration paid, excluding any commission, divided by the number of shares repurchased.</w:t>
      </w:r>
    </w:p>
    <w:p>
      <w:pPr>
        <w:pStyle w:val="TextBody"/>
        <w:bidi w:val="0"/>
        <w:spacing w:before="0" w:after="0"/>
        <w:jc w:val="right"/>
        <w:rPr/>
      </w:pPr>
      <w:r>
        <w:rPr/>
        <w:drawing>
          <wp:inline distT="0" distB="0" distL="0" distR="0">
            <wp:extent cx="314325" cy="266700"/>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14"/>
                    <a:stretch>
                      <a:fillRect/>
                    </a:stretch>
                  </pic:blipFill>
                  <pic:spPr bwMode="auto">
                    <a:xfrm>
                      <a:off x="0" y="0"/>
                      <a:ext cx="314325" cy="266700"/>
                    </a:xfrm>
                    <a:prstGeom prst="rect">
                      <a:avLst/>
                    </a:prstGeom>
                  </pic:spPr>
                </pic:pic>
              </a:graphicData>
            </a:graphic>
          </wp:inline>
        </w:drawing>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51180"/>
                <wp:effectExtent l="0" t="0" r="0" b="0"/>
                <wp:wrapNone/>
                <wp:docPr id="34" name="Frame21"/>
                <a:graphic xmlns:a="http://schemas.openxmlformats.org/drawingml/2006/main">
                  <a:graphicData uri="http://schemas.microsoft.com/office/word/2010/wordprocessingShape">
                    <wps:wsp>
                      <wps:cNvSpPr txBox="1"/>
                      <wps:spPr>
                        <a:xfrm>
                          <a:off x="0" y="0"/>
                          <a:ext cx="6480175" cy="551180"/>
                        </a:xfrm>
                        <a:prstGeom prst="rect"/>
                        <a:solidFill>
                          <a:srgbClr val="FFFFFF"/>
                        </a:solidFill>
                      </wps:spPr>
                      <wps:txb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4pt;mso-wrap-distance-left:0pt;mso-wrap-distance-right:0pt;mso-wrap-distance-top:0pt;mso-wrap-distance-bottom:0pt;margin-top:0pt;mso-position-vertical:top;mso-position-vertical-relative:text;margin-left:-457.25pt;mso-position-horizontal:left;mso-position-horizontal-relative:text">
                <v:textbo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535353"/>
          <w:sz w:val="48"/>
        </w:rPr>
      </w:pPr>
      <w:r>
        <w:rPr>
          <w:rFonts w:ascii="Times New Roman;serif" w:hAnsi="Times New Roman;serif"/>
          <w:b/>
          <w:color w:val="535353"/>
          <w:sz w:val="48"/>
        </w:rPr>
        <w:t xml:space="preserve">Repurchase of TRA Obligation from Insignia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3295650"/>
            <wp:effectExtent l="0" t="0" r="0" b="0"/>
            <wp:docPr id="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4" descr=""/>
                    <pic:cNvPicPr>
                      <a:picLocks noChangeAspect="1" noChangeArrowheads="1"/>
                    </pic:cNvPicPr>
                  </pic:nvPicPr>
                  <pic:blipFill>
                    <a:blip r:embed="rId15"/>
                    <a:stretch>
                      <a:fillRect/>
                    </a:stretch>
                  </pic:blipFill>
                  <pic:spPr bwMode="auto">
                    <a:xfrm>
                      <a:off x="0" y="0"/>
                      <a:ext cx="9144000" cy="32956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14325" cy="266700"/>
            <wp:effectExtent l="0" t="0" r="0" b="0"/>
            <wp:docPr id="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5" descr=""/>
                    <pic:cNvPicPr>
                      <a:picLocks noChangeAspect="1" noChangeArrowheads="1"/>
                    </pic:cNvPicPr>
                  </pic:nvPicPr>
                  <pic:blipFill>
                    <a:blip r:embed="rId16"/>
                    <a:stretch>
                      <a:fillRect/>
                    </a:stretch>
                  </pic:blipFill>
                  <pic:spPr bwMode="auto">
                    <a:xfrm>
                      <a:off x="0" y="0"/>
                      <a:ext cx="314325" cy="266700"/>
                    </a:xfrm>
                    <a:prstGeom prst="rect">
                      <a:avLst/>
                    </a:prstGeom>
                  </pic:spPr>
                </pic:pic>
              </a:graphicData>
            </a:graphic>
          </wp:inline>
        </w:drawing>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51180"/>
                <wp:effectExtent l="0" t="0" r="0" b="0"/>
                <wp:wrapNone/>
                <wp:docPr id="37" name="Frame22"/>
                <a:graphic xmlns:a="http://schemas.openxmlformats.org/drawingml/2006/main">
                  <a:graphicData uri="http://schemas.microsoft.com/office/word/2010/wordprocessingShape">
                    <wps:wsp>
                      <wps:cNvSpPr txBox="1"/>
                      <wps:spPr>
                        <a:xfrm>
                          <a:off x="0" y="0"/>
                          <a:ext cx="6480175" cy="551180"/>
                        </a:xfrm>
                        <a:prstGeom prst="rect"/>
                        <a:solidFill>
                          <a:srgbClr val="FFFFFF"/>
                        </a:solidFill>
                      </wps:spPr>
                      <wps:txb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4pt;mso-wrap-distance-left:0pt;mso-wrap-distance-right:0pt;mso-wrap-distance-top:0pt;mso-wrap-distance-bottom:0pt;margin-top:0pt;mso-position-vertical:top;mso-position-vertical-relative:text;margin-left:-457.25pt;mso-position-horizontal:left;mso-position-horizontal-relative:text">
                <v:textbo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535353"/>
          <w:sz w:val="48"/>
        </w:rPr>
      </w:pPr>
      <w:r>
        <w:rPr>
          <w:rFonts w:ascii="Times New Roman;serif" w:hAnsi="Times New Roman;serif"/>
          <w:b/>
          <w:color w:val="535353"/>
          <w:sz w:val="48"/>
        </w:rPr>
        <w:t>Q3 2026 Financial Outlook</w:t>
      </w:r>
    </w:p>
    <w:p>
      <w:pPr>
        <w:pStyle w:val="TextBody"/>
        <w:bidi w:val="0"/>
        <w:spacing w:before="0" w:after="0"/>
        <w:jc w:val="center"/>
        <w:rPr/>
      </w:pPr>
      <w:r>
        <w:rPr/>
      </w:r>
    </w:p>
    <w:p>
      <w:pPr>
        <w:pStyle w:val="TextBody"/>
        <w:bidi w:val="0"/>
        <w:spacing w:before="0" w:after="0"/>
        <w:jc w:val="center"/>
        <w:rPr/>
      </w:pPr>
      <w:r>
        <w:rPr/>
      </w:r>
    </w:p>
    <w:tbl>
      <w:tblPr>
        <w:tblW w:w="8161" w:type="dxa"/>
        <w:jc w:val="center"/>
        <w:tblInd w:w="0" w:type="dxa"/>
        <w:tblLayout w:type="fixed"/>
        <w:tblCellMar>
          <w:top w:w="28" w:type="dxa"/>
          <w:left w:w="28" w:type="dxa"/>
          <w:bottom w:w="28" w:type="dxa"/>
          <w:right w:w="28" w:type="dxa"/>
        </w:tblCellMar>
      </w:tblPr>
      <w:tblGrid>
        <w:gridCol w:w="1999"/>
        <w:gridCol w:w="1757"/>
        <w:gridCol w:w="1764"/>
        <w:gridCol w:w="109"/>
        <w:gridCol w:w="205"/>
        <w:gridCol w:w="201"/>
        <w:gridCol w:w="405"/>
        <w:gridCol w:w="209"/>
        <w:gridCol w:w="197"/>
        <w:gridCol w:w="440"/>
        <w:gridCol w:w="203"/>
        <w:gridCol w:w="203"/>
        <w:gridCol w:w="469"/>
      </w:tblGrid>
      <w:tr>
        <w:trPr/>
        <w:tc>
          <w:tcPr>
            <w:tcW w:w="1999"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808080"/>
                <w:sz w:val="24"/>
              </w:rPr>
            </w:pPr>
            <w:r>
              <w:rPr>
                <w:rFonts w:ascii="Times New Roman;serif" w:hAnsi="Times New Roman;serif"/>
                <w:b/>
                <w:color w:val="808080"/>
                <w:sz w:val="24"/>
              </w:rPr>
              <w:t>Q3 2026 Guidance</w:t>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535353"/>
                <w:sz w:val="24"/>
              </w:rPr>
            </w:pPr>
            <w:r>
              <w:rPr>
                <w:rFonts w:ascii="Times New Roman;serif" w:hAnsi="Times New Roman;serif"/>
                <w:b/>
                <w:color w:val="535353"/>
                <w:sz w:val="24"/>
              </w:rPr>
              <w:t>($ in millions, % year-over-year growth)</w:t>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shd w:fill="FCDAD3"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808080"/>
                <w:sz w:val="24"/>
              </w:rPr>
            </w:pPr>
            <w:r>
              <w:rPr>
                <w:rFonts w:ascii="Times New Roman;serif" w:hAnsi="Times New Roman;serif"/>
                <w:b/>
                <w:color w:val="808080"/>
                <w:sz w:val="24"/>
              </w:rPr>
              <w:t>Low</w:t>
            </w:r>
          </w:p>
        </w:tc>
        <w:tc>
          <w:tcPr>
            <w:tcW w:w="846" w:type="dxa"/>
            <w:gridSpan w:val="3"/>
            <w:tcBorders/>
            <w:shd w:fill="FCDAD3"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808080"/>
                <w:sz w:val="24"/>
              </w:rPr>
            </w:pPr>
            <w:r>
              <w:rPr>
                <w:rFonts w:ascii="Times New Roman;serif" w:hAnsi="Times New Roman;serif"/>
                <w:b/>
                <w:color w:val="808080"/>
                <w:sz w:val="24"/>
              </w:rPr>
              <w:t>Mid</w:t>
            </w:r>
          </w:p>
        </w:tc>
        <w:tc>
          <w:tcPr>
            <w:tcW w:w="875" w:type="dxa"/>
            <w:gridSpan w:val="3"/>
            <w:tcBorders/>
            <w:shd w:fill="FCDAD3"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808080"/>
                <w:sz w:val="24"/>
              </w:rPr>
            </w:pPr>
            <w:r>
              <w:rPr>
                <w:rFonts w:ascii="Times New Roman;serif" w:hAnsi="Times New Roman;serif"/>
                <w:b/>
                <w:color w:val="808080"/>
                <w:sz w:val="24"/>
              </w:rPr>
              <w:t>High</w:t>
            </w:r>
          </w:p>
        </w:tc>
      </w:tr>
      <w:tr>
        <w:trPr/>
        <w:tc>
          <w:tcPr>
            <w:tcW w:w="5520" w:type="dxa"/>
            <w:gridSpan w:val="3"/>
            <w:tcBorders>
              <w:top w:val="single" w:sz="8"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04A22"/>
                <w:sz w:val="24"/>
              </w:rPr>
            </w:pPr>
            <w:r>
              <w:rPr>
                <w:rFonts w:ascii="Times New Roman;serif" w:hAnsi="Times New Roman;serif"/>
                <w:b/>
                <w:color w:val="F04A22"/>
                <w:sz w:val="24"/>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04A22"/>
                <w:sz w:val="24"/>
              </w:rPr>
            </w:pPr>
            <w:r>
              <w:rPr>
                <w:rFonts w:ascii="Times New Roman;serif" w:hAnsi="Times New Roman;serif"/>
                <w:b/>
                <w:color w:val="F04A22"/>
                <w:sz w:val="24"/>
              </w:rPr>
              <w:t>$330.0</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04A22"/>
                <w:sz w:val="24"/>
              </w:rPr>
            </w:pPr>
            <w:r>
              <w:rPr>
                <w:rFonts w:ascii="Times New Roman;serif" w:hAnsi="Times New Roman;serif"/>
                <w:b/>
                <w:color w:val="F04A22"/>
                <w:sz w:val="24"/>
              </w:rPr>
              <w:t>$342.5</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04A22"/>
                <w:sz w:val="24"/>
              </w:rPr>
            </w:pPr>
            <w:r>
              <w:rPr>
                <w:rFonts w:ascii="Times New Roman;serif" w:hAnsi="Times New Roman;serif"/>
                <w:b/>
                <w:color w:val="F04A22"/>
                <w:sz w:val="24"/>
              </w:rPr>
              <w:t>$355.0</w:t>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808080"/>
                <w:sz w:val="24"/>
              </w:rPr>
            </w:pPr>
            <w:r>
              <w:rPr>
                <w:rFonts w:ascii="Times New Roman;serif" w:hAnsi="Times New Roman;serif"/>
                <w:b w:val="false"/>
                <w:i/>
                <w:color w:val="808080"/>
                <w:sz w:val="24"/>
              </w:rPr>
              <w:t>% growth</w:t>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8 </w:t>
            </w:r>
          </w:p>
        </w:tc>
        <w:tc>
          <w:tcPr>
            <w:tcW w:w="4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12 </w:t>
            </w:r>
          </w:p>
        </w:tc>
        <w:tc>
          <w:tcPr>
            <w:tcW w:w="4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16 </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w:t>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F04A22"/>
                <w:sz w:val="24"/>
              </w:rPr>
              <w:t>Contribution</w:t>
            </w:r>
            <w:r>
              <w:rPr>
                <w:rFonts w:ascii="Times New Roman;serif" w:hAnsi="Times New Roman;serif"/>
                <w:b/>
                <w:color w:val="F04A22"/>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04A22"/>
                <w:sz w:val="24"/>
              </w:rPr>
            </w:pPr>
            <w:r>
              <w:rPr>
                <w:rFonts w:ascii="Times New Roman;serif" w:hAnsi="Times New Roman;serif"/>
                <w:b/>
                <w:color w:val="F04A22"/>
                <w:sz w:val="24"/>
              </w:rPr>
              <w:t>$51.5</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04A22"/>
                <w:sz w:val="24"/>
              </w:rPr>
            </w:pPr>
            <w:r>
              <w:rPr>
                <w:rFonts w:ascii="Times New Roman;serif" w:hAnsi="Times New Roman;serif"/>
                <w:b/>
                <w:color w:val="F04A22"/>
                <w:sz w:val="24"/>
              </w:rPr>
              <w:t>$53.0</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04A22"/>
                <w:sz w:val="24"/>
              </w:rPr>
            </w:pPr>
            <w:r>
              <w:rPr>
                <w:rFonts w:ascii="Times New Roman;serif" w:hAnsi="Times New Roman;serif"/>
                <w:b/>
                <w:color w:val="F04A22"/>
                <w:sz w:val="24"/>
              </w:rPr>
              <w:t>$54.5</w:t>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808080"/>
                <w:sz w:val="24"/>
              </w:rPr>
            </w:pPr>
            <w:r>
              <w:rPr>
                <w:rFonts w:ascii="Times New Roman;serif" w:hAnsi="Times New Roman;serif"/>
                <w:b w:val="false"/>
                <w:i/>
                <w:color w:val="808080"/>
                <w:sz w:val="24"/>
              </w:rPr>
              <w:t>% growth</w:t>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13 </w:t>
            </w:r>
          </w:p>
        </w:tc>
        <w:tc>
          <w:tcPr>
            <w:tcW w:w="4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16 </w:t>
            </w:r>
          </w:p>
        </w:tc>
        <w:tc>
          <w:tcPr>
            <w:tcW w:w="4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19 </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w:t>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F04A22"/>
                <w:sz w:val="24"/>
              </w:rPr>
              <w:t>Adjusted EBITDA</w:t>
            </w:r>
            <w:r>
              <w:rPr>
                <w:rFonts w:ascii="Times New Roman;serif" w:hAnsi="Times New Roman;serif"/>
                <w:b/>
                <w:color w:val="F04A22"/>
                <w:sz w:val="16"/>
              </w:rPr>
              <w:t>2</w:t>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04A22"/>
                <w:sz w:val="24"/>
              </w:rPr>
            </w:pPr>
            <w:r>
              <w:rPr>
                <w:rFonts w:ascii="Times New Roman;serif" w:hAnsi="Times New Roman;serif"/>
                <w:b/>
                <w:color w:val="F04A22"/>
                <w:sz w:val="24"/>
              </w:rPr>
              <w:t>$32.0</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04A22"/>
                <w:sz w:val="24"/>
              </w:rPr>
            </w:pPr>
            <w:r>
              <w:rPr>
                <w:rFonts w:ascii="Times New Roman;serif" w:hAnsi="Times New Roman;serif"/>
                <w:b/>
                <w:color w:val="F04A22"/>
                <w:sz w:val="24"/>
              </w:rPr>
              <w:t>$33.5</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04A22"/>
                <w:sz w:val="24"/>
              </w:rPr>
            </w:pPr>
            <w:r>
              <w:rPr>
                <w:rFonts w:ascii="Times New Roman;serif" w:hAnsi="Times New Roman;serif"/>
                <w:b/>
                <w:color w:val="F04A22"/>
                <w:sz w:val="24"/>
              </w:rPr>
              <w:t>$35.0</w:t>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808080"/>
                <w:sz w:val="24"/>
              </w:rPr>
            </w:pPr>
            <w:r>
              <w:rPr>
                <w:rFonts w:ascii="Times New Roman;serif" w:hAnsi="Times New Roman;serif"/>
                <w:b w:val="false"/>
                <w:i/>
                <w:color w:val="808080"/>
                <w:sz w:val="24"/>
              </w:rPr>
              <w:t>% growth</w:t>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10 </w:t>
            </w:r>
          </w:p>
        </w:tc>
        <w:tc>
          <w:tcPr>
            <w:tcW w:w="4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15 </w:t>
            </w:r>
          </w:p>
        </w:tc>
        <w:tc>
          <w:tcPr>
            <w:tcW w:w="4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20 </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w:t>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04A22"/>
                <w:sz w:val="24"/>
              </w:rPr>
            </w:pPr>
            <w:r>
              <w:rPr>
                <w:rFonts w:ascii="Times New Roman;serif" w:hAnsi="Times New Roman;serif"/>
                <w:b/>
                <w:color w:val="F04A22"/>
                <w:sz w:val="24"/>
              </w:rPr>
              <w:t>Under-65 Contribution</w:t>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04A22"/>
                <w:sz w:val="24"/>
              </w:rPr>
            </w:pPr>
            <w:r>
              <w:rPr>
                <w:rFonts w:ascii="Times New Roman;serif" w:hAnsi="Times New Roman;serif"/>
                <w:b/>
                <w:color w:val="F04A22"/>
                <w:sz w:val="24"/>
              </w:rPr>
              <w:t>$0.3</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04A22"/>
                <w:sz w:val="24"/>
              </w:rPr>
            </w:pPr>
            <w:r>
              <w:rPr>
                <w:rFonts w:ascii="Times New Roman;serif" w:hAnsi="Times New Roman;serif"/>
                <w:b/>
                <w:color w:val="F04A22"/>
                <w:sz w:val="24"/>
              </w:rPr>
              <w:t>$0.3</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04A22"/>
                <w:sz w:val="24"/>
              </w:rPr>
            </w:pPr>
            <w:r>
              <w:rPr>
                <w:rFonts w:ascii="Times New Roman;serif" w:hAnsi="Times New Roman;serif"/>
                <w:b/>
                <w:color w:val="F04A22"/>
                <w:sz w:val="24"/>
              </w:rPr>
              <w:t>$0.3</w:t>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04A22"/>
                <w:sz w:val="24"/>
              </w:rPr>
            </w:pPr>
            <w:r>
              <w:rPr>
                <w:rFonts w:ascii="Times New Roman;serif" w:hAnsi="Times New Roman;serif"/>
                <w:b/>
                <w:color w:val="F04A22"/>
                <w:sz w:val="24"/>
              </w:rPr>
              <w:t>Contribution excluding Under-65 Contribution</w:t>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04A22"/>
                <w:sz w:val="24"/>
              </w:rPr>
            </w:pPr>
            <w:r>
              <w:rPr>
                <w:rFonts w:ascii="Times New Roman;serif" w:hAnsi="Times New Roman;serif"/>
                <w:b/>
                <w:color w:val="F04A22"/>
                <w:sz w:val="24"/>
              </w:rPr>
              <w:t>$51.3</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04A22"/>
                <w:sz w:val="24"/>
              </w:rPr>
            </w:pPr>
            <w:r>
              <w:rPr>
                <w:rFonts w:ascii="Times New Roman;serif" w:hAnsi="Times New Roman;serif"/>
                <w:b/>
                <w:color w:val="F04A22"/>
                <w:sz w:val="24"/>
              </w:rPr>
              <w:t>$52.8</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04A22"/>
                <w:sz w:val="24"/>
              </w:rPr>
            </w:pPr>
            <w:r>
              <w:rPr>
                <w:rFonts w:ascii="Times New Roman;serif" w:hAnsi="Times New Roman;serif"/>
                <w:b/>
                <w:color w:val="F04A22"/>
                <w:sz w:val="24"/>
              </w:rPr>
              <w:t>$54.3</w:t>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808080"/>
                <w:sz w:val="24"/>
              </w:rPr>
            </w:pPr>
            <w:r>
              <w:rPr>
                <w:rFonts w:ascii="Times New Roman;serif" w:hAnsi="Times New Roman;serif"/>
                <w:b w:val="false"/>
                <w:i/>
                <w:color w:val="808080"/>
                <w:sz w:val="24"/>
              </w:rPr>
              <w:t>% growth</w:t>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16 </w:t>
            </w:r>
          </w:p>
        </w:tc>
        <w:tc>
          <w:tcPr>
            <w:tcW w:w="4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20 </w:t>
            </w:r>
          </w:p>
        </w:tc>
        <w:tc>
          <w:tcPr>
            <w:tcW w:w="4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23 </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w:t>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04A22"/>
                <w:sz w:val="24"/>
              </w:rPr>
            </w:pPr>
            <w:r>
              <w:rPr>
                <w:rFonts w:ascii="Times New Roman;serif" w:hAnsi="Times New Roman;serif"/>
                <w:b/>
                <w:color w:val="F04A22"/>
                <w:sz w:val="24"/>
              </w:rPr>
              <w:t>Adjusted EBITDA excluding Under-65 Contribution</w:t>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04A22"/>
                <w:sz w:val="24"/>
              </w:rPr>
            </w:pPr>
            <w:r>
              <w:rPr>
                <w:rFonts w:ascii="Times New Roman;serif" w:hAnsi="Times New Roman;serif"/>
                <w:b/>
                <w:color w:val="F04A22"/>
                <w:sz w:val="24"/>
              </w:rPr>
              <w:t>$31.8</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04A22"/>
                <w:sz w:val="24"/>
              </w:rPr>
            </w:pPr>
            <w:r>
              <w:rPr>
                <w:rFonts w:ascii="Times New Roman;serif" w:hAnsi="Times New Roman;serif"/>
                <w:b/>
                <w:color w:val="F04A22"/>
                <w:sz w:val="24"/>
              </w:rPr>
              <w:t>$33.3</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F04A22"/>
                <w:sz w:val="24"/>
              </w:rPr>
            </w:pPr>
            <w:r>
              <w:rPr>
                <w:rFonts w:ascii="Times New Roman;serif" w:hAnsi="Times New Roman;serif"/>
                <w:b/>
                <w:color w:val="F04A22"/>
                <w:sz w:val="24"/>
              </w:rPr>
              <w:t>$34.8</w:t>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808080"/>
                <w:sz w:val="24"/>
              </w:rPr>
            </w:pPr>
            <w:r>
              <w:rPr>
                <w:rFonts w:ascii="Times New Roman;serif" w:hAnsi="Times New Roman;serif"/>
                <w:b w:val="false"/>
                <w:i/>
                <w:color w:val="808080"/>
                <w:sz w:val="24"/>
              </w:rPr>
              <w:t>% growth</w:t>
            </w:r>
          </w:p>
        </w:tc>
        <w:tc>
          <w:tcPr>
            <w:tcW w:w="109" w:type="dxa"/>
            <w:tcBorders/>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15 </w:t>
            </w:r>
          </w:p>
        </w:tc>
        <w:tc>
          <w:tcPr>
            <w:tcW w:w="4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21 </w:t>
            </w:r>
          </w:p>
        </w:tc>
        <w:tc>
          <w:tcPr>
            <w:tcW w:w="44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26 </w:t>
            </w:r>
          </w:p>
        </w:tc>
        <w:tc>
          <w:tcPr>
            <w:tcW w:w="4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808080"/>
                <w:sz w:val="24"/>
              </w:rPr>
            </w:pPr>
            <w:r>
              <w:rPr>
                <w:rFonts w:ascii="Times New Roman;serif" w:hAnsi="Times New Roman;serif"/>
                <w:b w:val="false"/>
                <w:i/>
                <w:color w:val="808080"/>
                <w:sz w:val="24"/>
              </w:rPr>
              <w: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240" w:after="120"/>
        <w:jc w:val="left"/>
        <w:rPr/>
      </w:pPr>
      <w:r>
        <w:rPr>
          <w:rFonts w:ascii="Times New Roman;serif" w:hAnsi="Times New Roman;serif"/>
          <w:b w:val="false"/>
          <w:color w:val="707070"/>
          <w:sz w:val="13"/>
        </w:rPr>
        <w:t xml:space="preserve">1 </w:t>
      </w:r>
      <w:r>
        <w:rPr>
          <w:rFonts w:ascii="Times New Roman;serif" w:hAnsi="Times New Roman;serif"/>
          <w:b w:val="false"/>
          <w:color w:val="707070"/>
          <w:sz w:val="20"/>
        </w:rPr>
        <w:t xml:space="preserve">See page </w:t>
      </w:r>
      <w:hyperlink w:anchor="ibdab9cafdc68490fbc94c6d0922421a5_6933">
        <w:r>
          <w:rPr>
            <w:rStyle w:val="InternetLink"/>
            <w:rFonts w:ascii="Times New Roman;serif" w:hAnsi="Times New Roman;serif"/>
            <w:b w:val="false"/>
            <w:color w:val="707070"/>
            <w:sz w:val="20"/>
            <w:u w:val="single"/>
          </w:rPr>
          <w:t>11</w:t>
        </w:r>
      </w:hyperlink>
      <w:r>
        <w:rPr>
          <w:color w:val="707070"/>
        </w:rPr>
        <w:t xml:space="preserve"> </w:t>
      </w:r>
      <w:r>
        <w:rPr>
          <w:rFonts w:ascii="Times New Roman;serif" w:hAnsi="Times New Roman;serif"/>
          <w:b w:val="false"/>
          <w:color w:val="707070"/>
          <w:sz w:val="20"/>
        </w:rPr>
        <w:t>of this supplement for additional information regarding Contribution, a non-GAAP financial measure.</w:t>
        <w:br/>
      </w:r>
      <w:r>
        <w:rPr>
          <w:rFonts w:ascii="Times New Roman;serif" w:hAnsi="Times New Roman;serif"/>
          <w:b w:val="false"/>
          <w:color w:val="707070"/>
          <w:sz w:val="13"/>
        </w:rPr>
        <w:t xml:space="preserve">2 </w:t>
      </w:r>
      <w:r>
        <w:rPr>
          <w:rFonts w:ascii="Times New Roman;serif" w:hAnsi="Times New Roman;serif"/>
          <w:b w:val="false"/>
          <w:color w:val="707070"/>
          <w:sz w:val="20"/>
        </w:rPr>
        <w:t xml:space="preserve">See page </w:t>
      </w:r>
      <w:hyperlink w:anchor="ibdab9cafdc68490fbc94c6d0922421a5_6934">
        <w:r>
          <w:rPr>
            <w:rStyle w:val="InternetLink"/>
            <w:rFonts w:ascii="Times New Roman;serif" w:hAnsi="Times New Roman;serif"/>
            <w:b w:val="false"/>
            <w:color w:val="707070"/>
            <w:sz w:val="20"/>
            <w:u w:val="single"/>
          </w:rPr>
          <w:t>12</w:t>
        </w:r>
      </w:hyperlink>
      <w:r>
        <w:rPr>
          <w:color w:val="707070"/>
        </w:rPr>
        <w:t xml:space="preserve"> </w:t>
      </w:r>
      <w:r>
        <w:rPr>
          <w:rFonts w:ascii="Times New Roman;serif" w:hAnsi="Times New Roman;serif"/>
          <w:b w:val="false"/>
          <w:color w:val="707070"/>
          <w:sz w:val="20"/>
        </w:rPr>
        <w:t>of this supplement for additional information regarding Adjusted EBITDA, a non-GAAP financial measure.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314325" cy="266700"/>
            <wp:effectExtent l="0" t="0" r="0" b="0"/>
            <wp:docPr id="3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6" descr=""/>
                    <pic:cNvPicPr>
                      <a:picLocks noChangeAspect="1" noChangeArrowheads="1"/>
                    </pic:cNvPicPr>
                  </pic:nvPicPr>
                  <pic:blipFill>
                    <a:blip r:embed="rId17"/>
                    <a:stretch>
                      <a:fillRect/>
                    </a:stretch>
                  </pic:blipFill>
                  <pic:spPr bwMode="auto">
                    <a:xfrm>
                      <a:off x="0" y="0"/>
                      <a:ext cx="314325" cy="266700"/>
                    </a:xfrm>
                    <a:prstGeom prst="rect">
                      <a:avLst/>
                    </a:prstGeom>
                  </pic:spPr>
                </pic:pic>
              </a:graphicData>
            </a:graphic>
          </wp:inline>
        </w:drawing>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51180"/>
                <wp:effectExtent l="0" t="0" r="0" b="0"/>
                <wp:wrapNone/>
                <wp:docPr id="39" name="Frame23"/>
                <a:graphic xmlns:a="http://schemas.openxmlformats.org/drawingml/2006/main">
                  <a:graphicData uri="http://schemas.microsoft.com/office/word/2010/wordprocessingShape">
                    <wps:wsp>
                      <wps:cNvSpPr txBox="1"/>
                      <wps:spPr>
                        <a:xfrm>
                          <a:off x="0" y="0"/>
                          <a:ext cx="6480175" cy="551180"/>
                        </a:xfrm>
                        <a:prstGeom prst="rect"/>
                        <a:solidFill>
                          <a:srgbClr val="FFFFFF"/>
                        </a:solidFill>
                      </wps:spPr>
                      <wps:txb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4pt;mso-wrap-distance-left:0pt;mso-wrap-distance-right:0pt;mso-wrap-distance-top:0pt;mso-wrap-distance-bottom:0pt;margin-top:0pt;mso-position-vertical:top;mso-position-vertical-relative:text;margin-left:-457.25pt;mso-position-horizontal:left;mso-position-horizontal-relative:text">
                <v:textbo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Key Business Metrics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and Non-GAAP Financial Measures</w:t>
      </w:r>
    </w:p>
    <w:p>
      <w:pPr>
        <w:pStyle w:val="TextBody"/>
        <w:bidi w:val="0"/>
        <w:spacing w:lineRule="auto" w:line="288" w:before="120" w:after="120"/>
        <w:jc w:val="left"/>
        <w:rPr>
          <w:rFonts w:ascii="Times New Roman;serif" w:hAnsi="Times New Roman;serif"/>
          <w:b w:val="false"/>
          <w:color w:val="707070"/>
          <w:sz w:val="22"/>
        </w:rPr>
      </w:pPr>
      <w:r>
        <w:rPr>
          <w:rFonts w:ascii="Times New Roman;serif" w:hAnsi="Times New Roman;serif"/>
          <w:b w:val="false"/>
          <w:color w:val="707070"/>
          <w:sz w:val="22"/>
        </w:rPr>
        <w:t>In addition to traditional financial metrics, we rely upon certain business metrics that are not presented in accordance with GAAP to estimate the volume of spending on our platform, estimate and recognize revenue, evaluate our business performance and facilitate our operations. Such business metrics should not be considered in isolation from, or as an alternative to, measures presented in accordance with GAAP and should be considered together with other operating and financial performance measures presented in accordance with GAAP. Also, such business and operating metrics may not necessarily be comparable to similarly titled measures presented by other companies.</w:t>
      </w:r>
    </w:p>
    <w:p>
      <w:pPr>
        <w:pStyle w:val="TextBody"/>
        <w:bidi w:val="0"/>
        <w:spacing w:before="0" w:after="0"/>
        <w:jc w:val="right"/>
        <w:rPr/>
      </w:pPr>
      <w:r>
        <w:rPr/>
        <w:drawing>
          <wp:inline distT="0" distB="0" distL="0" distR="0">
            <wp:extent cx="314325" cy="266700"/>
            <wp:effectExtent l="0" t="0" r="0" b="0"/>
            <wp:docPr id="4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7" descr=""/>
                    <pic:cNvPicPr>
                      <a:picLocks noChangeAspect="1" noChangeArrowheads="1"/>
                    </pic:cNvPicPr>
                  </pic:nvPicPr>
                  <pic:blipFill>
                    <a:blip r:embed="rId18"/>
                    <a:stretch>
                      <a:fillRect/>
                    </a:stretch>
                  </pic:blipFill>
                  <pic:spPr bwMode="auto">
                    <a:xfrm>
                      <a:off x="0" y="0"/>
                      <a:ext cx="314325" cy="266700"/>
                    </a:xfrm>
                    <a:prstGeom prst="rect">
                      <a:avLst/>
                    </a:prstGeom>
                  </pic:spPr>
                </pic:pic>
              </a:graphicData>
            </a:graphic>
          </wp:inline>
        </w:drawing>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51180"/>
                <wp:effectExtent l="0" t="0" r="0" b="0"/>
                <wp:wrapNone/>
                <wp:docPr id="41" name="Frame24"/>
                <a:graphic xmlns:a="http://schemas.openxmlformats.org/drawingml/2006/main">
                  <a:graphicData uri="http://schemas.microsoft.com/office/word/2010/wordprocessingShape">
                    <wps:wsp>
                      <wps:cNvSpPr txBox="1"/>
                      <wps:spPr>
                        <a:xfrm>
                          <a:off x="0" y="0"/>
                          <a:ext cx="6480175" cy="551180"/>
                        </a:xfrm>
                        <a:prstGeom prst="rect"/>
                        <a:solidFill>
                          <a:srgbClr val="FFFFFF"/>
                        </a:solidFill>
                      </wps:spPr>
                      <wps:txb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4pt;mso-wrap-distance-left:0pt;mso-wrap-distance-right:0pt;mso-wrap-distance-top:0pt;mso-wrap-distance-bottom:0pt;margin-top:0pt;mso-position-vertical:top;mso-position-vertical-relative:text;margin-left:-457.25pt;mso-position-horizontal:left;mso-position-horizontal-relative:text">
                <v:textbo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10</w:t>
                      </w:r>
                    </w:p>
                  </w:txbxContent>
                </v:textbox>
                <w10:wrap type="none"/>
              </v:rect>
            </w:pict>
          </mc:Fallback>
        </mc:AlternateContent>
      </w:r>
    </w:p>
    <w:p>
      <w:pPr>
        <w:pStyle w:val="TextBody"/>
        <w:bidi w:val="0"/>
        <w:spacing w:lineRule="auto" w:line="288" w:before="240" w:after="120"/>
        <w:jc w:val="center"/>
        <w:rPr>
          <w:rFonts w:ascii="Times New Roman;serif" w:hAnsi="Times New Roman;serif"/>
          <w:b/>
          <w:color w:val="535353"/>
          <w:sz w:val="48"/>
        </w:rPr>
      </w:pPr>
      <w:bookmarkStart w:id="0" w:name="ibdab9cafdc68490fbc94c6d0922421a5_6933"/>
      <w:bookmarkEnd w:id="0"/>
      <w:r>
        <w:rPr>
          <w:rFonts w:ascii="Times New Roman;serif" w:hAnsi="Times New Roman;serif"/>
          <w:b/>
          <w:color w:val="535353"/>
          <w:sz w:val="48"/>
        </w:rPr>
        <w:t>Contribution to Gross Profit</w:t>
      </w:r>
    </w:p>
    <w:p>
      <w:pPr>
        <w:pStyle w:val="TextBody"/>
        <w:bidi w:val="0"/>
        <w:spacing w:lineRule="auto" w:line="288" w:before="240" w:after="120"/>
        <w:jc w:val="left"/>
        <w:rPr>
          <w:rFonts w:ascii="Times New Roman;serif" w:hAnsi="Times New Roman;serif"/>
          <w:b w:val="false"/>
          <w:color w:val="535353"/>
          <w:sz w:val="20"/>
        </w:rPr>
      </w:pPr>
      <w:r>
        <w:rPr>
          <w:rFonts w:ascii="Times New Roman;serif" w:hAnsi="Times New Roman;serif"/>
          <w:b w:val="false"/>
          <w:color w:val="535353"/>
          <w:sz w:val="20"/>
        </w:rPr>
        <w:t>We define “Contribution” as revenue less revenue share payments and online advertising costs, or, as reported in our consolidated statements of operations, revenue less cost of revenue (i.e., gross profit), as adjusted to exclude the following items from cost of revenue: equity-based compensation; salaries, wages, and related costs; internet and hosting costs; amortization; depreciation; other services; and merchant-related fees. We define “Contribution Margin” as Contribution expressed as a percentage of revenue for the same period. Contribution and Contribution Margin are non-GAAP financial measures that we present to supplement the financial information we present on a GAAP basis. We use Contribution and Contribution Margin to measure the return on our relationships with our Supply Partners (excluding certain fixed costs), the financial return on and efficacy of our online advertising costs to drive consumers to our proprietary websites, and our operating leverage. We do not use Contribution and Contribution Margin as measures of overall profitability. We present Contribution and Contribution Margin because they are used by our management and board of directors to manage our operating performance, including evaluating our operational performance against budget and assessing our overall operating efficiency and operating leverage. For example, if Contribution increases and our headcount costs and other operating expenses remain steady, our Adjusted EBITDA and operating leverage increase. If Contribution Margin decreases, we may choose to re-evaluate and re-negotiate our revenue share agreements with our Supply Partners, to make optimization and pricing changes with respect to our bids for keywords from primary traffic acquisition sources, or to change our overall cost structure with respect to headcount, fixed costs and other costs. Other companies may calculate Contribution and Contribution Margin differently than we do. Contribution and Contribution Margin have their limitations as analytical tools, and you should not consider them in isolation or as substitutes for analysis of our results presented in accordance with GAAP.</w:t>
      </w:r>
    </w:p>
    <w:p>
      <w:pPr>
        <w:pStyle w:val="TextBody"/>
        <w:bidi w:val="0"/>
        <w:spacing w:lineRule="auto" w:line="288" w:before="0" w:after="0"/>
        <w:jc w:val="left"/>
        <w:rPr>
          <w:rFonts w:ascii="Times New Roman;serif" w:hAnsi="Times New Roman;serif"/>
          <w:b w:val="false"/>
          <w:color w:val="707070"/>
          <w:sz w:val="20"/>
        </w:rPr>
      </w:pPr>
      <w:r>
        <w:rPr>
          <w:rFonts w:ascii="Times New Roman;serif" w:hAnsi="Times New Roman;serif"/>
          <w:b w:val="false"/>
          <w:color w:val="707070"/>
          <w:sz w:val="20"/>
        </w:rPr>
        <w:t>The following table reconciles Contribution with gross profit, the most directly comparable financial measure calculated and presented in accordance with GAAP,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511"/>
        <w:gridCol w:w="1126"/>
        <w:gridCol w:w="1128"/>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498"/>
      </w:tblGrid>
      <w:tr>
        <w:trPr/>
        <w:tc>
          <w:tcPr>
            <w:tcW w:w="151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20"/>
              </w:rPr>
            </w:pPr>
            <w:r>
              <w:rPr>
                <w:rFonts w:ascii="Times New Roman;serif" w:hAnsi="Times New Roman;serif"/>
                <w:b/>
                <w:color w:val="535353"/>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20"/>
              </w:rPr>
            </w:pPr>
            <w:r>
              <w:rPr>
                <w:rFonts w:ascii="Times New Roman;serif" w:hAnsi="Times New Roman;serif"/>
                <w:b/>
                <w:color w:val="535353"/>
                <w:sz w:val="20"/>
              </w:rPr>
              <w:t>Six Months Ended June 30,</w:t>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535353"/>
                <w:sz w:val="20"/>
              </w:rPr>
            </w:pPr>
            <w:r>
              <w:rPr>
                <w:rFonts w:ascii="Times New Roman;serif" w:hAnsi="Times New Roman;serif"/>
                <w:b/>
                <w:color w:val="535353"/>
                <w:sz w:val="20"/>
              </w:rPr>
              <w:t>(in thousands)</w:t>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20"/>
              </w:rPr>
            </w:pPr>
            <w:r>
              <w:rPr>
                <w:rFonts w:ascii="Times New Roman;serif" w:hAnsi="Times New Roman;serif"/>
                <w:b/>
                <w:color w:val="535353"/>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20"/>
              </w:rPr>
            </w:pPr>
            <w:r>
              <w:rPr>
                <w:rFonts w:ascii="Times New Roman;serif" w:hAnsi="Times New Roman;serif"/>
                <w:b/>
                <w:color w:val="535353"/>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20"/>
              </w:rPr>
            </w:pPr>
            <w:r>
              <w:rPr>
                <w:rFonts w:ascii="Times New Roman;serif" w:hAnsi="Times New Roman;serif"/>
                <w:b/>
                <w:color w:val="535353"/>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color w:val="535353"/>
                <w:sz w:val="20"/>
              </w:rPr>
            </w:pPr>
            <w:r>
              <w:rPr>
                <w:rFonts w:ascii="Times New Roman;serif" w:hAnsi="Times New Roman;serif"/>
                <w:b/>
                <w:color w:val="535353"/>
                <w:sz w:val="20"/>
              </w:rPr>
              <w:t>2025</w:t>
            </w:r>
          </w:p>
        </w:tc>
      </w:tr>
      <w:tr>
        <w:trPr/>
        <w:tc>
          <w:tcPr>
            <w:tcW w:w="3765" w:type="dxa"/>
            <w:gridSpan w:val="3"/>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Revenue</w:t>
            </w:r>
          </w:p>
        </w:tc>
        <w:tc>
          <w:tcPr>
            <w:tcW w:w="211"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w:t>
            </w:r>
          </w:p>
        </w:tc>
        <w:tc>
          <w:tcPr>
            <w:tcW w:w="826"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316,875 </w:t>
            </w:r>
          </w:p>
        </w:tc>
        <w:tc>
          <w:tcPr>
            <w:tcW w:w="271" w:type="dxa"/>
            <w:tcBorders>
              <w:top w:val="single" w:sz="8"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w:t>
            </w:r>
          </w:p>
        </w:tc>
        <w:tc>
          <w:tcPr>
            <w:tcW w:w="826"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251,622 </w:t>
            </w:r>
          </w:p>
        </w:tc>
        <w:tc>
          <w:tcPr>
            <w:tcW w:w="271" w:type="dxa"/>
            <w:tcBorders>
              <w:top w:val="single" w:sz="8"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w:t>
            </w:r>
          </w:p>
        </w:tc>
        <w:tc>
          <w:tcPr>
            <w:tcW w:w="826"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626,879 </w:t>
            </w:r>
          </w:p>
        </w:tc>
        <w:tc>
          <w:tcPr>
            <w:tcW w:w="271" w:type="dxa"/>
            <w:tcBorders>
              <w:top w:val="single" w:sz="8"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w:t>
            </w:r>
          </w:p>
        </w:tc>
        <w:tc>
          <w:tcPr>
            <w:tcW w:w="826"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515,931 </w:t>
            </w:r>
          </w:p>
        </w:tc>
        <w:tc>
          <w:tcPr>
            <w:tcW w:w="498" w:type="dxa"/>
            <w:tcBorders>
              <w:top w:val="single" w:sz="8" w:space="0" w:color="EE4921"/>
            </w:tcBorders>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65"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Less cost of revenue</w:t>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(271,701)</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(213,935)</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(535,006)</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(436,605)</w:t>
            </w:r>
          </w:p>
        </w:tc>
        <w:tc>
          <w:tcPr>
            <w:tcW w:w="498" w:type="dxa"/>
            <w:tcBorders>
              <w:top w:val="single" w:sz="4" w:space="0" w:color="EE4921"/>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765"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Gross profit</w:t>
            </w:r>
          </w:p>
        </w:tc>
        <w:tc>
          <w:tcPr>
            <w:tcW w:w="211"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w:t>
            </w:r>
          </w:p>
        </w:tc>
        <w:tc>
          <w:tcPr>
            <w:tcW w:w="82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45,174 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w:t>
            </w:r>
          </w:p>
        </w:tc>
        <w:tc>
          <w:tcPr>
            <w:tcW w:w="82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37,687 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w:t>
            </w:r>
          </w:p>
        </w:tc>
        <w:tc>
          <w:tcPr>
            <w:tcW w:w="82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91,873 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w:t>
            </w:r>
          </w:p>
        </w:tc>
        <w:tc>
          <w:tcPr>
            <w:tcW w:w="82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79,326 </w:t>
            </w:r>
          </w:p>
        </w:tc>
        <w:tc>
          <w:tcPr>
            <w:tcW w:w="498" w:type="dxa"/>
            <w:tcBorders>
              <w:top w:val="single" w:sz="4" w:space="0" w:color="EE4921"/>
            </w:tcBorders>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65"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535353"/>
                <w:sz w:val="20"/>
              </w:rPr>
            </w:pPr>
            <w:r>
              <w:rPr>
                <w:rFonts w:ascii="Times New Roman;serif" w:hAnsi="Times New Roman;serif"/>
                <w:b w:val="false"/>
                <w:color w:val="535353"/>
                <w:sz w:val="20"/>
              </w:rPr>
              <w:t>Adjusted to exclude the following (as related to cost of revenue):</w:t>
            </w:r>
          </w:p>
        </w:tc>
        <w:tc>
          <w:tcPr>
            <w:tcW w:w="1308"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4" w:space="0" w:color="EE4921"/>
            </w:tcBorders>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765"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Equity-based compensation</w:t>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106 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277 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249 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571 </w:t>
            </w:r>
          </w:p>
        </w:tc>
        <w:tc>
          <w:tcPr>
            <w:tcW w:w="498" w:type="dxa"/>
            <w:tcBorders>
              <w:top w:val="single" w:sz="4" w:space="0" w:color="EE4921"/>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765"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Salaries, wages, and related</w:t>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381 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785 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726 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1,601 </w:t>
            </w:r>
          </w:p>
        </w:tc>
        <w:tc>
          <w:tcPr>
            <w:tcW w:w="498" w:type="dxa"/>
            <w:tcBorders>
              <w:top w:val="single" w:sz="4" w:space="0" w:color="EE4921"/>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765"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Internet and hosting</w:t>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343 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200 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598 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371 </w:t>
            </w:r>
          </w:p>
        </w:tc>
        <w:tc>
          <w:tcPr>
            <w:tcW w:w="498" w:type="dxa"/>
            <w:tcBorders>
              <w:top w:val="single" w:sz="4" w:space="0" w:color="EE4921"/>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765"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Other expenses</w:t>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130 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165 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277 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367 </w:t>
            </w:r>
          </w:p>
        </w:tc>
        <w:tc>
          <w:tcPr>
            <w:tcW w:w="498" w:type="dxa"/>
            <w:tcBorders>
              <w:top w:val="single" w:sz="4" w:space="0" w:color="EE4921"/>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765"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Depreciation</w:t>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2 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6 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5 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12 </w:t>
            </w:r>
          </w:p>
        </w:tc>
        <w:tc>
          <w:tcPr>
            <w:tcW w:w="498" w:type="dxa"/>
            <w:tcBorders>
              <w:top w:val="single" w:sz="4" w:space="0" w:color="EE4921"/>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765"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Other services</w:t>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737 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528 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1,569 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1,240 </w:t>
            </w:r>
          </w:p>
        </w:tc>
        <w:tc>
          <w:tcPr>
            <w:tcW w:w="498" w:type="dxa"/>
            <w:tcBorders>
              <w:top w:val="single" w:sz="4" w:space="0" w:color="EE4921"/>
            </w:tcBorders>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765"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Merchant-related fees</w:t>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285 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188 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525 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330 </w:t>
            </w:r>
          </w:p>
        </w:tc>
        <w:tc>
          <w:tcPr>
            <w:tcW w:w="498" w:type="dxa"/>
            <w:tcBorders>
              <w:top w:val="single" w:sz="4" w:space="0" w:color="EE4921"/>
            </w:tcBorders>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65"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Contribution</w:t>
            </w:r>
          </w:p>
        </w:tc>
        <w:tc>
          <w:tcPr>
            <w:tcW w:w="211"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w:t>
            </w:r>
          </w:p>
        </w:tc>
        <w:tc>
          <w:tcPr>
            <w:tcW w:w="82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47,158 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w:t>
            </w:r>
          </w:p>
        </w:tc>
        <w:tc>
          <w:tcPr>
            <w:tcW w:w="82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39,836 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w:t>
            </w:r>
          </w:p>
        </w:tc>
        <w:tc>
          <w:tcPr>
            <w:tcW w:w="82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95,822 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w:t>
            </w:r>
          </w:p>
        </w:tc>
        <w:tc>
          <w:tcPr>
            <w:tcW w:w="82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83,818 </w:t>
            </w:r>
          </w:p>
        </w:tc>
        <w:tc>
          <w:tcPr>
            <w:tcW w:w="498" w:type="dxa"/>
            <w:tcBorders>
              <w:top w:val="single" w:sz="4" w:space="0" w:color="EE4921"/>
            </w:tcBorders>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65"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Gross margin</w:t>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14.3 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w:t>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15.0 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14.7 </w:t>
            </w:r>
          </w:p>
        </w:tc>
        <w:tc>
          <w:tcPr>
            <w:tcW w:w="271"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w:t>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15.4 </w:t>
            </w:r>
          </w:p>
        </w:tc>
        <w:tc>
          <w:tcPr>
            <w:tcW w:w="498"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erif" w:hAnsi="Times New Roman;serif"/>
                <w:b w:val="false"/>
                <w:color w:val="535353"/>
                <w:sz w:val="20"/>
              </w:rPr>
            </w:pPr>
            <w:r>
              <w:rPr>
                <w:rFonts w:ascii="Times New Roman;serif" w:hAnsi="Times New Roman;serif"/>
                <w:b w:val="false"/>
                <w:color w:val="535353"/>
                <w:sz w:val="20"/>
              </w:rPr>
              <w:t>%</w:t>
            </w:r>
          </w:p>
        </w:tc>
      </w:tr>
      <w:tr>
        <w:trPr/>
        <w:tc>
          <w:tcPr>
            <w:tcW w:w="3765" w:type="dxa"/>
            <w:gridSpan w:val="3"/>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535353"/>
                <w:sz w:val="20"/>
              </w:rPr>
            </w:pPr>
            <w:r>
              <w:rPr>
                <w:rFonts w:ascii="Times New Roman;serif" w:hAnsi="Times New Roman;serif"/>
                <w:b w:val="false"/>
                <w:color w:val="535353"/>
                <w:sz w:val="20"/>
              </w:rPr>
              <w:t>Contribution Margin</w:t>
            </w:r>
          </w:p>
        </w:tc>
        <w:tc>
          <w:tcPr>
            <w:tcW w:w="1037" w:type="dxa"/>
            <w:gridSpan w:val="2"/>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14.9 </w:t>
            </w:r>
          </w:p>
        </w:tc>
        <w:tc>
          <w:tcPr>
            <w:tcW w:w="271"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w:t>
            </w:r>
          </w:p>
        </w:tc>
        <w:tc>
          <w:tcPr>
            <w:tcW w:w="327" w:type="dxa"/>
            <w:gridSpan w:val="3"/>
            <w:tcBorders>
              <w:top w:val="single" w:sz="4" w:space="0" w:color="EE4921"/>
              <w:bottom w:val="single" w:sz="4" w:space="0" w:color="EE4921"/>
            </w:tcBorders>
            <w:tcMar>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15.8 </w:t>
            </w:r>
          </w:p>
        </w:tc>
        <w:tc>
          <w:tcPr>
            <w:tcW w:w="271"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15.3 </w:t>
            </w:r>
          </w:p>
        </w:tc>
        <w:tc>
          <w:tcPr>
            <w:tcW w:w="271"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w:t>
            </w:r>
          </w:p>
        </w:tc>
        <w:tc>
          <w:tcPr>
            <w:tcW w:w="327" w:type="dxa"/>
            <w:gridSpan w:val="3"/>
            <w:tcBorders>
              <w:top w:val="single" w:sz="4" w:space="0" w:color="EE4921"/>
              <w:bottom w:val="single" w:sz="4" w:space="0" w:color="EE4921"/>
            </w:tcBorders>
            <w:tcMar>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16.2 </w:t>
            </w:r>
          </w:p>
        </w:tc>
        <w:tc>
          <w:tcPr>
            <w:tcW w:w="498" w:type="dxa"/>
            <w:tcBorders>
              <w:top w:val="single" w:sz="4" w:space="0" w:color="EE4921"/>
              <w:bottom w:val="single" w:sz="4" w:space="0" w:color="EE4921"/>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20"/>
              </w:rPr>
            </w:pPr>
            <w:r>
              <w:rPr>
                <w:rFonts w:ascii="Times New Roman;serif" w:hAnsi="Times New Roman;serif"/>
                <w:b w:val="false"/>
                <w:color w:val="535353"/>
                <w:sz w:val="20"/>
              </w:rPr>
              <w:t>%</w:t>
            </w:r>
          </w:p>
        </w:tc>
      </w:tr>
    </w:tbl>
    <w:p>
      <w:pPr>
        <w:pStyle w:val="TextBody"/>
        <w:bidi w:val="0"/>
        <w:spacing w:before="0" w:after="0"/>
        <w:jc w:val="right"/>
        <w:rPr/>
      </w:pPr>
      <w:r>
        <w:rPr/>
        <w:drawing>
          <wp:inline distT="0" distB="0" distL="0" distR="0">
            <wp:extent cx="314325" cy="266700"/>
            <wp:effectExtent l="0" t="0" r="0" b="0"/>
            <wp:docPr id="4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8" descr=""/>
                    <pic:cNvPicPr>
                      <a:picLocks noChangeAspect="1" noChangeArrowheads="1"/>
                    </pic:cNvPicPr>
                  </pic:nvPicPr>
                  <pic:blipFill>
                    <a:blip r:embed="rId19"/>
                    <a:stretch>
                      <a:fillRect/>
                    </a:stretch>
                  </pic:blipFill>
                  <pic:spPr bwMode="auto">
                    <a:xfrm>
                      <a:off x="0" y="0"/>
                      <a:ext cx="314325" cy="266700"/>
                    </a:xfrm>
                    <a:prstGeom prst="rect">
                      <a:avLst/>
                    </a:prstGeom>
                  </pic:spPr>
                </pic:pic>
              </a:graphicData>
            </a:graphic>
          </wp:inline>
        </w:drawing>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51180"/>
                <wp:effectExtent l="0" t="0" r="0" b="0"/>
                <wp:wrapNone/>
                <wp:docPr id="43" name="Frame25"/>
                <a:graphic xmlns:a="http://schemas.openxmlformats.org/drawingml/2006/main">
                  <a:graphicData uri="http://schemas.microsoft.com/office/word/2010/wordprocessingShape">
                    <wps:wsp>
                      <wps:cNvSpPr txBox="1"/>
                      <wps:spPr>
                        <a:xfrm>
                          <a:off x="0" y="0"/>
                          <a:ext cx="6480175" cy="551180"/>
                        </a:xfrm>
                        <a:prstGeom prst="rect"/>
                        <a:solidFill>
                          <a:srgbClr val="FFFFFF"/>
                        </a:solidFill>
                      </wps:spPr>
                      <wps:txb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4pt;mso-wrap-distance-left:0pt;mso-wrap-distance-right:0pt;mso-wrap-distance-top:0pt;mso-wrap-distance-bottom:0pt;margin-top:0pt;mso-position-vertical:top;mso-position-vertical-relative:text;margin-left:-457.25pt;mso-position-horizontal:left;mso-position-horizontal-relative:text">
                <v:textbo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11</w:t>
                      </w:r>
                    </w:p>
                  </w:txbxContent>
                </v:textbox>
                <w10:wrap type="none"/>
              </v:rect>
            </w:pict>
          </mc:Fallback>
        </mc:AlternateContent>
      </w:r>
    </w:p>
    <w:p>
      <w:pPr>
        <w:pStyle w:val="TextBody"/>
        <w:bidi w:val="0"/>
        <w:spacing w:lineRule="auto" w:line="288" w:before="240" w:after="120"/>
        <w:jc w:val="center"/>
        <w:rPr>
          <w:rFonts w:ascii="Times New Roman;serif" w:hAnsi="Times New Roman;serif"/>
          <w:b/>
          <w:color w:val="535353"/>
          <w:sz w:val="48"/>
        </w:rPr>
      </w:pPr>
      <w:bookmarkStart w:id="1" w:name="ibdab9cafdc68490fbc94c6d0922421a5_6934"/>
      <w:bookmarkEnd w:id="1"/>
      <w:r>
        <w:rPr>
          <w:rFonts w:ascii="Times New Roman;serif" w:hAnsi="Times New Roman;serif"/>
          <w:b/>
          <w:color w:val="535353"/>
          <w:sz w:val="48"/>
        </w:rPr>
        <w:t>Adjusted EBITDA to Net Income (Loss)</w:t>
      </w:r>
    </w:p>
    <w:p>
      <w:pPr>
        <w:pStyle w:val="TextBody"/>
        <w:bidi w:val="0"/>
        <w:spacing w:lineRule="auto" w:line="288" w:before="120" w:after="120"/>
        <w:jc w:val="left"/>
        <w:rPr>
          <w:rFonts w:ascii="Times New Roman;serif" w:hAnsi="Times New Roman;serif"/>
          <w:b w:val="false"/>
          <w:color w:val="707070"/>
          <w:sz w:val="20"/>
        </w:rPr>
      </w:pPr>
      <w:r>
        <w:rPr>
          <w:rFonts w:ascii="Times New Roman;serif" w:hAnsi="Times New Roman;serif"/>
          <w:b w:val="false"/>
          <w:color w:val="707070"/>
          <w:sz w:val="20"/>
        </w:rPr>
        <w:t xml:space="preserve">We define “Adjusted EBITDA” as net income (loss) excluding interest expense, income tax expense (benefit), depreciation expense on property and equipment, amortization of intangible assets, as well as equity-based compensation expense and certain other adjustments as listed in the table below. We define “Adjusted EBITDA Margin” as Adjusted EBITDA as a percentage of revenue. Adjusted EBITDA is a non-GAAP financial measure that we present to supplement the financial information we present on a GAAP basis. We monitor and present Adjusted EBITDA because it is a key measure used by our management to understand and evaluate our operating performance, to establish budgets and to develop operational goals for managing our business. We believe that Adjusted EBITDA helps identify underlying trends in our business that could otherwise be masked by the effect of the expenses that we exclude in the calculations of Adjusted EBITDA. Accordingly, we believe that Adjusted EBITDA provides useful information to investors and others in understanding and evaluating our operating results, enhancing the overall understanding of our past performance and future prospects. In addition, presenting Adjusted EBITDA provides investors with a metric to evaluate the capital efficiency of our business. Adjusted EBITDA is not presented in accordance with GAAP and should not be considered in isolation of, or as an alternative to, measures presented in accordance with GAAP. There are a number of limitations related to the use of Adjusted EBITDA rather than net income, which is the most directly comparable financial measure calculated and presented in accordance with GAAP. These limitations include the fact that Adjusted EBITDA excludes interest expense on debt, income tax expense (benefit), equity-based compensation expense, depreciation and amortization, and certain other adjustments that we consider to be useful to investors and others in understanding and evaluating our operating results. In addition, other companies may use other measures to evaluate their performance, including different definitions of “Adjusted EBITDA,” which could reduce the usefulness of our Adjusted EBITDA as a tool for comparison. </w:t>
      </w:r>
    </w:p>
    <w:p>
      <w:pPr>
        <w:pStyle w:val="TextBody"/>
        <w:bidi w:val="0"/>
        <w:spacing w:lineRule="auto" w:line="288" w:before="0" w:after="0"/>
        <w:jc w:val="left"/>
        <w:rPr>
          <w:rFonts w:ascii="Times New Roman;serif" w:hAnsi="Times New Roman;serif"/>
          <w:b w:val="false"/>
          <w:color w:val="707070"/>
          <w:sz w:val="20"/>
        </w:rPr>
      </w:pPr>
      <w:r>
        <w:rPr>
          <w:rFonts w:ascii="Times New Roman;serif" w:hAnsi="Times New Roman;serif"/>
          <w:b w:val="false"/>
          <w:color w:val="707070"/>
          <w:sz w:val="20"/>
        </w:rPr>
        <w:t>The following table reconciles Adjusted EBITDA with net income (loss), the most directly comparable financial measure calculated and presented in accordance with GAAP, for the three and six months ended June 30, 2026 and 2025:</w:t>
      </w:r>
    </w:p>
    <w:tbl>
      <w:tblPr>
        <w:tblW w:w="9466" w:type="dxa"/>
        <w:jc w:val="center"/>
        <w:tblInd w:w="0" w:type="dxa"/>
        <w:tblLayout w:type="fixed"/>
        <w:tblCellMar>
          <w:top w:w="28" w:type="dxa"/>
          <w:left w:w="28" w:type="dxa"/>
          <w:bottom w:w="28" w:type="dxa"/>
          <w:right w:w="28" w:type="dxa"/>
        </w:tblCellMar>
      </w:tblPr>
      <w:tblGrid>
        <w:gridCol w:w="1576"/>
        <w:gridCol w:w="1383"/>
        <w:gridCol w:w="1390"/>
        <w:gridCol w:w="208"/>
        <w:gridCol w:w="685"/>
        <w:gridCol w:w="115"/>
        <w:gridCol w:w="115"/>
        <w:gridCol w:w="115"/>
        <w:gridCol w:w="115"/>
        <w:gridCol w:w="208"/>
        <w:gridCol w:w="765"/>
        <w:gridCol w:w="115"/>
        <w:gridCol w:w="109"/>
        <w:gridCol w:w="109"/>
        <w:gridCol w:w="109"/>
        <w:gridCol w:w="196"/>
        <w:gridCol w:w="646"/>
        <w:gridCol w:w="109"/>
        <w:gridCol w:w="109"/>
        <w:gridCol w:w="109"/>
        <w:gridCol w:w="109"/>
        <w:gridCol w:w="196"/>
        <w:gridCol w:w="721"/>
        <w:gridCol w:w="154"/>
      </w:tblGrid>
      <w:tr>
        <w:trPr/>
        <w:tc>
          <w:tcPr>
            <w:tcW w:w="157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18"/>
              </w:rPr>
            </w:pPr>
            <w:r>
              <w:rPr>
                <w:rFonts w:ascii="Times New Roman;serif" w:hAnsi="Times New Roman;serif"/>
                <w:b/>
                <w:color w:val="535353"/>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18"/>
              </w:rPr>
            </w:pPr>
            <w:r>
              <w:rPr>
                <w:rFonts w:ascii="Times New Roman;serif" w:hAnsi="Times New Roman;serif"/>
                <w:b/>
                <w:color w:val="535353"/>
                <w:sz w:val="18"/>
              </w:rPr>
              <w:t>Six Months Ended June 30,</w:t>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535353"/>
                <w:sz w:val="18"/>
              </w:rPr>
            </w:pPr>
            <w:r>
              <w:rPr>
                <w:rFonts w:ascii="Times New Roman;serif" w:hAnsi="Times New Roman;serif"/>
                <w:b/>
                <w:color w:val="535353"/>
                <w:sz w:val="18"/>
              </w:rPr>
              <w:t>(in thousands)</w:t>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18"/>
              </w:rPr>
            </w:pPr>
            <w:r>
              <w:rPr>
                <w:rFonts w:ascii="Times New Roman;serif" w:hAnsi="Times New Roman;serif"/>
                <w:b/>
                <w:color w:val="535353"/>
                <w:sz w:val="18"/>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18"/>
              </w:rPr>
            </w:pPr>
            <w:r>
              <w:rPr>
                <w:rFonts w:ascii="Times New Roman;serif" w:hAnsi="Times New Roman;serif"/>
                <w:b/>
                <w:color w:val="535353"/>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18"/>
              </w:rPr>
            </w:pPr>
            <w:r>
              <w:rPr>
                <w:rFonts w:ascii="Times New Roman;serif" w:hAnsi="Times New Roman;serif"/>
                <w:b/>
                <w:color w:val="535353"/>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535353"/>
                <w:sz w:val="18"/>
              </w:rPr>
            </w:pPr>
            <w:r>
              <w:rPr>
                <w:rFonts w:ascii="Times New Roman;serif" w:hAnsi="Times New Roman;serif"/>
                <w:b/>
                <w:color w:val="535353"/>
                <w:sz w:val="18"/>
              </w:rPr>
              <w:t>2025</w:t>
            </w:r>
          </w:p>
        </w:tc>
      </w:tr>
      <w:tr>
        <w:trPr/>
        <w:tc>
          <w:tcPr>
            <w:tcW w:w="4349" w:type="dxa"/>
            <w:gridSpan w:val="3"/>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8"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18"/>
              </w:rPr>
            </w:pPr>
            <w:r>
              <w:rPr>
                <w:rFonts w:ascii="Times New Roman;serif" w:hAnsi="Times New Roman;serif"/>
                <w:b w:val="false"/>
                <w:color w:val="535353"/>
                <w:sz w:val="18"/>
              </w:rPr>
              <w:t>$</w:t>
            </w:r>
          </w:p>
        </w:tc>
        <w:tc>
          <w:tcPr>
            <w:tcW w:w="685"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41,783 </w:t>
            </w:r>
          </w:p>
        </w:tc>
        <w:tc>
          <w:tcPr>
            <w:tcW w:w="115" w:type="dxa"/>
            <w:tcBorders>
              <w:top w:val="single" w:sz="8"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18"/>
              </w:rPr>
            </w:pPr>
            <w:r>
              <w:rPr>
                <w:rFonts w:ascii="Times New Roman;serif" w:hAnsi="Times New Roman;serif"/>
                <w:b w:val="false"/>
                <w:color w:val="535353"/>
                <w:sz w:val="18"/>
              </w:rPr>
              <w:t>$</w:t>
            </w:r>
          </w:p>
        </w:tc>
        <w:tc>
          <w:tcPr>
            <w:tcW w:w="765"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(22,533)</w:t>
            </w:r>
          </w:p>
        </w:tc>
        <w:tc>
          <w:tcPr>
            <w:tcW w:w="115" w:type="dxa"/>
            <w:tcBorders>
              <w:top w:val="single" w:sz="8"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18"/>
              </w:rPr>
            </w:pPr>
            <w:r>
              <w:rPr>
                <w:rFonts w:ascii="Times New Roman;serif" w:hAnsi="Times New Roman;serif"/>
                <w:b w:val="false"/>
                <w:color w:val="535353"/>
                <w:sz w:val="18"/>
              </w:rPr>
              <w:t>$</w:t>
            </w:r>
          </w:p>
        </w:tc>
        <w:tc>
          <w:tcPr>
            <w:tcW w:w="646"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55,829 </w:t>
            </w:r>
          </w:p>
        </w:tc>
        <w:tc>
          <w:tcPr>
            <w:tcW w:w="109" w:type="dxa"/>
            <w:tcBorders>
              <w:top w:val="single" w:sz="8"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18"/>
              </w:rPr>
            </w:pPr>
            <w:r>
              <w:rPr>
                <w:rFonts w:ascii="Times New Roman;serif" w:hAnsi="Times New Roman;serif"/>
                <w:b w:val="false"/>
                <w:color w:val="535353"/>
                <w:sz w:val="18"/>
              </w:rPr>
              <w:t>$</w:t>
            </w:r>
          </w:p>
        </w:tc>
        <w:tc>
          <w:tcPr>
            <w:tcW w:w="721" w:type="dxa"/>
            <w:tcBorders>
              <w:top w:val="single" w:sz="8"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(24,867)</w:t>
            </w:r>
          </w:p>
        </w:tc>
        <w:tc>
          <w:tcPr>
            <w:tcW w:w="154" w:type="dxa"/>
            <w:tcBorders>
              <w:top w:val="single" w:sz="8"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 expense</w:t>
            </w:r>
          </w:p>
        </w:tc>
        <w:tc>
          <w:tcPr>
            <w:tcW w:w="89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8,472 </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8,112 </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15,731 </w:t>
            </w:r>
          </w:p>
        </w:tc>
        <w:tc>
          <w:tcPr>
            <w:tcW w:w="109"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15,136 </w:t>
            </w:r>
          </w:p>
        </w:tc>
        <w:tc>
          <w:tcPr>
            <w:tcW w:w="154"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9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2,774 </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2,870 </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5,215 </w:t>
            </w:r>
          </w:p>
        </w:tc>
        <w:tc>
          <w:tcPr>
            <w:tcW w:w="109"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5,825 </w:t>
            </w:r>
          </w:p>
        </w:tc>
        <w:tc>
          <w:tcPr>
            <w:tcW w:w="154"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89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13,308 </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316 </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19,810 </w:t>
            </w:r>
          </w:p>
        </w:tc>
        <w:tc>
          <w:tcPr>
            <w:tcW w:w="109"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267 </w:t>
            </w:r>
          </w:p>
        </w:tc>
        <w:tc>
          <w:tcPr>
            <w:tcW w:w="154"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 on property and equipment</w:t>
            </w:r>
          </w:p>
        </w:tc>
        <w:tc>
          <w:tcPr>
            <w:tcW w:w="89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76 </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68 </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150 </w:t>
            </w:r>
          </w:p>
        </w:tc>
        <w:tc>
          <w:tcPr>
            <w:tcW w:w="109"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130 </w:t>
            </w:r>
          </w:p>
        </w:tc>
        <w:tc>
          <w:tcPr>
            <w:tcW w:w="154"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9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478 </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512 </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955 </w:t>
            </w:r>
          </w:p>
        </w:tc>
        <w:tc>
          <w:tcPr>
            <w:tcW w:w="109"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1,956 </w:t>
            </w:r>
          </w:p>
        </w:tc>
        <w:tc>
          <w:tcPr>
            <w:tcW w:w="154"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expenses</w:t>
            </w:r>
            <w:r>
              <w:rPr>
                <w:rFonts w:ascii="Times New Roman;serif" w:hAnsi="Times New Roman;serif"/>
                <w:b w:val="false"/>
                <w:color w:val="000000"/>
                <w:sz w:val="12"/>
              </w:rPr>
              <w:t>(1)</w:t>
            </w:r>
          </w:p>
        </w:tc>
        <w:tc>
          <w:tcPr>
            <w:tcW w:w="89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color w:val="535353"/>
              </w:rPr>
            </w:pPr>
            <w:r>
              <w:rPr>
                <w:color w:val="535353"/>
              </w:rPr>
              <w:t>— </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color w:val="535353"/>
              </w:rPr>
            </w:pPr>
            <w:r>
              <w:rPr>
                <w:color w:val="535353"/>
              </w:rPr>
              <w:t>— </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1,298 </w:t>
            </w:r>
          </w:p>
        </w:tc>
        <w:tc>
          <w:tcPr>
            <w:tcW w:w="109"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color w:val="535353"/>
              </w:rPr>
            </w:pPr>
            <w:r>
              <w:rPr>
                <w:color w:val="535353"/>
              </w:rPr>
              <w:t>— </w:t>
            </w:r>
          </w:p>
        </w:tc>
        <w:tc>
          <w:tcPr>
            <w:tcW w:w="154"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Write-off of intangible assets</w:t>
            </w:r>
            <w:r>
              <w:rPr>
                <w:rFonts w:ascii="Times New Roman;serif" w:hAnsi="Times New Roman;serif"/>
                <w:b w:val="false"/>
                <w:color w:val="000000"/>
                <w:sz w:val="12"/>
              </w:rPr>
              <w:t>(2)</w:t>
            </w:r>
          </w:p>
        </w:tc>
        <w:tc>
          <w:tcPr>
            <w:tcW w:w="89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color w:val="535353"/>
              </w:rPr>
            </w:pPr>
            <w:r>
              <w:rPr>
                <w:color w:val="535353"/>
              </w:rPr>
              <w:t>— </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color w:val="535353"/>
              </w:rPr>
            </w:pPr>
            <w:r>
              <w:rPr>
                <w:color w:val="535353"/>
              </w:rPr>
              <w:t>— </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color w:val="535353"/>
              </w:rPr>
            </w:pPr>
            <w:r>
              <w:rPr>
                <w:color w:val="535353"/>
              </w:rPr>
              <w:t>— </w:t>
            </w:r>
          </w:p>
        </w:tc>
        <w:tc>
          <w:tcPr>
            <w:tcW w:w="109"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13,416 </w:t>
            </w:r>
          </w:p>
        </w:tc>
        <w:tc>
          <w:tcPr>
            <w:tcW w:w="154"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repurchase of interests in tax receivables agreement</w:t>
            </w:r>
          </w:p>
        </w:tc>
        <w:tc>
          <w:tcPr>
            <w:tcW w:w="89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(37,651)</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color w:val="535353"/>
              </w:rPr>
            </w:pPr>
            <w:r>
              <w:rPr>
                <w:color w:val="535353"/>
              </w:rPr>
              <w:t>— </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(37,651)</w:t>
            </w:r>
          </w:p>
        </w:tc>
        <w:tc>
          <w:tcPr>
            <w:tcW w:w="109"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color w:val="535353"/>
              </w:rPr>
            </w:pPr>
            <w:r>
              <w:rPr>
                <w:color w:val="535353"/>
              </w:rPr>
              <w:t>— </w:t>
            </w:r>
          </w:p>
        </w:tc>
        <w:tc>
          <w:tcPr>
            <w:tcW w:w="154"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Changes in TRA related liability</w:t>
            </w:r>
            <w:r>
              <w:rPr>
                <w:rFonts w:ascii="Times New Roman;serif" w:hAnsi="Times New Roman;serif"/>
                <w:b w:val="false"/>
                <w:color w:val="000000"/>
                <w:sz w:val="12"/>
              </w:rPr>
              <w:t>(3)</w:t>
            </w:r>
          </w:p>
        </w:tc>
        <w:tc>
          <w:tcPr>
            <w:tcW w:w="89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(52)</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79 </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(855)</w:t>
            </w:r>
          </w:p>
        </w:tc>
        <w:tc>
          <w:tcPr>
            <w:tcW w:w="109"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79 </w:t>
            </w:r>
          </w:p>
        </w:tc>
        <w:tc>
          <w:tcPr>
            <w:tcW w:w="154"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Tax Indemnification Receivable</w:t>
            </w:r>
          </w:p>
        </w:tc>
        <w:tc>
          <w:tcPr>
            <w:tcW w:w="89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(86)</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(185)</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(69)</w:t>
            </w:r>
          </w:p>
        </w:tc>
        <w:tc>
          <w:tcPr>
            <w:tcW w:w="109"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(206)</w:t>
            </w:r>
          </w:p>
        </w:tc>
        <w:tc>
          <w:tcPr>
            <w:tcW w:w="154"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Legal expenses</w:t>
            </w:r>
            <w:r>
              <w:rPr>
                <w:rFonts w:ascii="Times New Roman;serif" w:hAnsi="Times New Roman;serif"/>
                <w:b w:val="false"/>
                <w:color w:val="000000"/>
                <w:sz w:val="12"/>
              </w:rPr>
              <w:t>(4)</w:t>
            </w:r>
          </w:p>
        </w:tc>
        <w:tc>
          <w:tcPr>
            <w:tcW w:w="89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167 </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35,263 </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216 </w:t>
            </w:r>
          </w:p>
        </w:tc>
        <w:tc>
          <w:tcPr>
            <w:tcW w:w="109"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42,142 </w:t>
            </w:r>
          </w:p>
        </w:tc>
        <w:tc>
          <w:tcPr>
            <w:tcW w:w="154"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08"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18"/>
              </w:rPr>
            </w:pPr>
            <w:r>
              <w:rPr>
                <w:rFonts w:ascii="Times New Roman;serif" w:hAnsi="Times New Roman;serif"/>
                <w:b w:val="false"/>
                <w:color w:val="535353"/>
                <w:sz w:val="18"/>
              </w:rPr>
              <w:t>$</w:t>
            </w:r>
          </w:p>
        </w:tc>
        <w:tc>
          <w:tcPr>
            <w:tcW w:w="685"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29,269 </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18"/>
              </w:rPr>
            </w:pPr>
            <w:r>
              <w:rPr>
                <w:rFonts w:ascii="Times New Roman;serif" w:hAnsi="Times New Roman;serif"/>
                <w:b w:val="false"/>
                <w:color w:val="535353"/>
                <w:sz w:val="18"/>
              </w:rPr>
              <w:t>$</w:t>
            </w:r>
          </w:p>
        </w:tc>
        <w:tc>
          <w:tcPr>
            <w:tcW w:w="765"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24,502 </w:t>
            </w:r>
          </w:p>
        </w:tc>
        <w:tc>
          <w:tcPr>
            <w:tcW w:w="115"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18"/>
              </w:rPr>
            </w:pPr>
            <w:r>
              <w:rPr>
                <w:rFonts w:ascii="Times New Roman;serif" w:hAnsi="Times New Roman;serif"/>
                <w:b w:val="false"/>
                <w:color w:val="535353"/>
                <w:sz w:val="18"/>
              </w:rPr>
              <w:t>$</w:t>
            </w:r>
          </w:p>
        </w:tc>
        <w:tc>
          <w:tcPr>
            <w:tcW w:w="64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60,629 </w:t>
            </w:r>
          </w:p>
        </w:tc>
        <w:tc>
          <w:tcPr>
            <w:tcW w:w="109"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EE4921"/>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535353"/>
                <w:sz w:val="18"/>
              </w:rPr>
            </w:pPr>
            <w:r>
              <w:rPr>
                <w:rFonts w:ascii="Times New Roman;serif" w:hAnsi="Times New Roman;serif"/>
                <w:b w:val="false"/>
                <w:color w:val="535353"/>
                <w:sz w:val="18"/>
              </w:rPr>
              <w:t>$</w:t>
            </w:r>
          </w:p>
        </w:tc>
        <w:tc>
          <w:tcPr>
            <w:tcW w:w="721" w:type="dxa"/>
            <w:tcBorders>
              <w:top w:val="single" w:sz="4" w:space="0" w:color="EE4921"/>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535353"/>
                <w:sz w:val="18"/>
              </w:rPr>
            </w:pPr>
            <w:r>
              <w:rPr>
                <w:rFonts w:ascii="Times New Roman;serif" w:hAnsi="Times New Roman;serif"/>
                <w:b w:val="false"/>
                <w:color w:val="535353"/>
                <w:sz w:val="18"/>
              </w:rPr>
              <w:t>53,878 </w:t>
            </w:r>
          </w:p>
        </w:tc>
        <w:tc>
          <w:tcPr>
            <w:tcW w:w="154" w:type="dxa"/>
            <w:tcBorders>
              <w:top w:val="single" w:sz="4" w:space="0" w:color="EE4921"/>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535353"/>
          <w:sz w:val="16"/>
        </w:rPr>
      </w:pPr>
      <w:r>
        <w:rPr>
          <w:rFonts w:ascii="Times New Roman;serif" w:hAnsi="Times New Roman;serif"/>
          <w:b w:val="false"/>
          <w:color w:val="535353"/>
          <w:sz w:val="16"/>
        </w:rPr>
        <w:t>(1)Transaction expenses for the six months ended June 30, 2026 consist of legal and other fees of $1.1 million and a loss on extinguishment of debt of $0.2 million incurred by us in connection with the 2026 Credit Facilities.</w:t>
      </w:r>
    </w:p>
    <w:p>
      <w:pPr>
        <w:pStyle w:val="TextBody"/>
        <w:bidi w:val="0"/>
        <w:spacing w:lineRule="auto" w:line="288" w:before="60" w:after="283"/>
        <w:ind w:left="0" w:right="0" w:hanging="360"/>
        <w:jc w:val="left"/>
        <w:rPr>
          <w:rFonts w:ascii="Times New Roman;serif" w:hAnsi="Times New Roman;serif"/>
          <w:b w:val="false"/>
          <w:color w:val="535353"/>
          <w:sz w:val="16"/>
        </w:rPr>
      </w:pPr>
      <w:r>
        <w:rPr>
          <w:rFonts w:ascii="Times New Roman;serif" w:hAnsi="Times New Roman;serif"/>
          <w:b w:val="false"/>
          <w:color w:val="535353"/>
          <w:sz w:val="16"/>
        </w:rPr>
        <w:t>(2)Write-off of intangible assets for the six months ended June 30, 2025 consists of a charge related to the write-off of customer relationships and trademarks, trade names, and domain names intangible assets acquired as part of the acquisition of Customer Helper Team, LLC.</w:t>
      </w:r>
    </w:p>
    <w:p>
      <w:pPr>
        <w:pStyle w:val="TextBody"/>
        <w:bidi w:val="0"/>
        <w:spacing w:lineRule="auto" w:line="288" w:before="60" w:after="283"/>
        <w:ind w:left="0" w:right="0" w:hanging="360"/>
        <w:jc w:val="left"/>
        <w:rPr>
          <w:rFonts w:ascii="Times New Roman;serif" w:hAnsi="Times New Roman;serif"/>
          <w:b w:val="false"/>
          <w:color w:val="535353"/>
          <w:sz w:val="16"/>
        </w:rPr>
      </w:pPr>
      <w:r>
        <w:rPr>
          <w:rFonts w:ascii="Times New Roman;serif" w:hAnsi="Times New Roman;serif"/>
          <w:b w:val="false"/>
          <w:color w:val="535353"/>
          <w:sz w:val="16"/>
        </w:rPr>
        <w:t>(3)Changes in TRA related liability consist of adjustments to the TRA liability to reflect probable future payments under the agreement.</w:t>
      </w:r>
    </w:p>
    <w:p>
      <w:pPr>
        <w:pStyle w:val="TextBody"/>
        <w:bidi w:val="0"/>
        <w:spacing w:lineRule="auto" w:line="288" w:before="60" w:after="283"/>
        <w:ind w:left="0" w:right="0" w:hanging="360"/>
        <w:jc w:val="left"/>
        <w:rPr>
          <w:rFonts w:ascii="Times New Roman;serif" w:hAnsi="Times New Roman;serif"/>
          <w:b w:val="false"/>
          <w:color w:val="535353"/>
          <w:sz w:val="16"/>
        </w:rPr>
      </w:pPr>
      <w:r>
        <w:rPr>
          <w:rFonts w:ascii="Times New Roman;serif" w:hAnsi="Times New Roman;serif"/>
          <w:b w:val="false"/>
          <w:color w:val="535353"/>
          <w:sz w:val="16"/>
        </w:rPr>
        <w:t>(4)Legal expenses for the three and six months ended June 30, 2026 were immaterial. Legal expenses for the three and six months ended June 30, 2025, consist of increases of $33.0 million and $38.0 million, respectively, to the loss reserve established in connection with the FTC Matter and legal fees and costs incurred in connection with such matter.</w:t>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51180"/>
                <wp:effectExtent l="0" t="0" r="0" b="0"/>
                <wp:wrapNone/>
                <wp:docPr id="44" name="Frame26"/>
                <a:graphic xmlns:a="http://schemas.openxmlformats.org/drawingml/2006/main">
                  <a:graphicData uri="http://schemas.microsoft.com/office/word/2010/wordprocessingShape">
                    <wps:wsp>
                      <wps:cNvSpPr txBox="1"/>
                      <wps:spPr>
                        <a:xfrm>
                          <a:off x="0" y="0"/>
                          <a:ext cx="6480175" cy="551180"/>
                        </a:xfrm>
                        <a:prstGeom prst="rect"/>
                        <a:solidFill>
                          <a:srgbClr val="FFFFFF"/>
                        </a:solidFill>
                      </wps:spPr>
                      <wps:txb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4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F36D4D"/>
                          <w:sz w:val="18"/>
                        </w:rPr>
                      </w:pPr>
                      <w:r>
                        <w:rPr>
                          <w:rFonts w:ascii="Times New Roman;serif" w:hAnsi="Times New Roman;serif"/>
                          <w:b w:val="false"/>
                          <w:color w:val="F36D4D"/>
                          <w:sz w:val="18"/>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2.jpeg"/><Relationship Id="rId13" Type="http://schemas.openxmlformats.org/officeDocument/2006/relationships/image" Target="media/image7.jpeg"/><Relationship Id="rId14" Type="http://schemas.openxmlformats.org/officeDocument/2006/relationships/image" Target="media/image2.jpeg"/><Relationship Id="rId15" Type="http://schemas.openxmlformats.org/officeDocument/2006/relationships/image" Target="media/image8.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5989</Words>
  <Characters>33940</Characters>
  <CharactersWithSpaces>39266</CharactersWithSpaces>
  <Paragraphs>1168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