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3296.xml.htm"/>
      <w:bookmarkStart w:id="1" w:name="kswkform4_17909832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Sinanyan Tigran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MEDIAALPHA,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SOUTH FLOWER STREET, SUITE 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MediaAlpha, Inc.</w:t>
              </w:r>
            </w:hyperlink>
            <w:r>
              <w:rPr/>
              <w:t xml:space="preserve"> [ </w:t>
            </w:r>
            <w:r>
              <w:rPr>
                <w:rFonts w:ascii="Times;serif" w:hAnsi="Times;serif"/>
                <w:color w:val="0000FF"/>
                <w:sz w:val="24"/>
                <w:shd w:fill="FFFFFF" w:val="clear"/>
              </w:rPr>
              <w:t>MAX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24,250</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1,088</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254,781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granted to the Reporting Person under the Issuer's Omnibus Incentive Plan. Each RSU represents a contingent right to receive one share of Class A Common Stock upon vesting. Two sixteenths of the RSUs vested on October 1, 2026 and the remainder will vest quarterly over the following fourteen quarters beginning November 15, 2026, in each case subject to continued employment with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automatically by the Issuer to cover required tax withholding obligations due at settlement of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Treasurer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Coyne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003" TargetMode="External"/><Relationship Id="rId5" Type="http://schemas.openxmlformats.org/officeDocument/2006/relationships/hyperlink" Target="http://www.sec.gov/cgi-bin/browse-edgar?action=getcompany&amp;CIK=00018183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3672</Characters>
  <CharactersWithSpaces>4271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