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201930</wp:posOffset>
            </wp:positionH>
            <wp:positionV relativeFrom="page">
              <wp:posOffset>650240</wp:posOffset>
            </wp:positionV>
            <wp:extent cx="71443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673735</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_____________________________</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5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_____________________________</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28, 2026</w:t>
      </w:r>
    </w:p>
    <w:p>
      <w:pPr>
        <w:spacing w:after="0" w:line="3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_____________________________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MediaAlpha, Inc.</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_____________________________</w:t>
      </w:r>
    </w:p>
    <w:p>
      <w:pPr>
        <w:spacing w:after="0" w:line="184"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3520" w:type="dxa"/>
            <w:vAlign w:val="bottom"/>
          </w:tcPr>
          <w:p>
            <w:pPr>
              <w:jc w:val="center"/>
              <w:ind w:right="1946"/>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001-39671</w:t>
            </w:r>
          </w:p>
        </w:tc>
        <w:tc>
          <w:tcPr>
            <w:tcW w:w="2820" w:type="dxa"/>
            <w:vAlign w:val="bottom"/>
          </w:tcPr>
          <w:p>
            <w:pPr>
              <w:jc w:val="center"/>
              <w:ind w:left="1728"/>
              <w:spacing w:after="0"/>
              <w:rPr>
                <w:sz w:val="20"/>
                <w:szCs w:val="20"/>
                <w:color w:val="auto"/>
              </w:rPr>
            </w:pPr>
            <w:r>
              <w:rPr>
                <w:rFonts w:ascii="Times New Roman" w:cs="Times New Roman" w:eastAsia="Times New Roman" w:hAnsi="Times New Roman"/>
                <w:sz w:val="16"/>
                <w:szCs w:val="16"/>
                <w:b w:val="1"/>
                <w:bCs w:val="1"/>
                <w:color w:val="auto"/>
              </w:rPr>
              <w:t>85-1854133</w:t>
            </w:r>
          </w:p>
        </w:tc>
      </w:tr>
      <w:tr>
        <w:trPr>
          <w:trHeight w:val="161"/>
        </w:trPr>
        <w:tc>
          <w:tcPr>
            <w:tcW w:w="3520" w:type="dxa"/>
            <w:vAlign w:val="bottom"/>
          </w:tcPr>
          <w:p>
            <w:pPr>
              <w:jc w:val="center"/>
              <w:ind w:right="1946"/>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820" w:type="dxa"/>
            <w:vAlign w:val="bottom"/>
          </w:tcPr>
          <w:p>
            <w:pPr>
              <w:jc w:val="center"/>
              <w:ind w:left="1728"/>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3"/>
        </w:trPr>
        <w:tc>
          <w:tcPr>
            <w:tcW w:w="3520" w:type="dxa"/>
            <w:vAlign w:val="bottom"/>
          </w:tcPr>
          <w:p>
            <w:pPr>
              <w:jc w:val="center"/>
              <w:ind w:right="1966"/>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820" w:type="dxa"/>
            <w:vAlign w:val="bottom"/>
          </w:tcPr>
          <w:p>
            <w:pPr>
              <w:jc w:val="center"/>
              <w:ind w:left="1728"/>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538"/>
        </w:trPr>
        <w:tc>
          <w:tcPr>
            <w:tcW w:w="352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700 South Flower Street</w:t>
            </w:r>
            <w:r>
              <w:rPr>
                <w:rFonts w:ascii="Arial" w:cs="Arial" w:eastAsia="Arial" w:hAnsi="Arial"/>
                <w:sz w:val="19"/>
                <w:szCs w:val="19"/>
                <w:color w:val="auto"/>
              </w:rPr>
              <w:t>,</w:t>
            </w:r>
            <w:r>
              <w:rPr>
                <w:rFonts w:ascii="Times New Roman" w:cs="Times New Roman" w:eastAsia="Times New Roman" w:hAnsi="Times New Roman"/>
                <w:sz w:val="16"/>
                <w:szCs w:val="16"/>
                <w:b w:val="1"/>
                <w:bCs w:val="1"/>
                <w:color w:val="auto"/>
              </w:rPr>
              <w:t xml:space="preserve"> Suite 640</w:t>
            </w:r>
          </w:p>
        </w:tc>
        <w:tc>
          <w:tcPr>
            <w:tcW w:w="24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60"/>
        </w:trPr>
        <w:tc>
          <w:tcPr>
            <w:tcW w:w="352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Los Angeles</w:t>
            </w:r>
            <w:r>
              <w:rPr>
                <w:rFonts w:ascii="Arial" w:cs="Arial" w:eastAsia="Arial" w:hAnsi="Arial"/>
                <w:sz w:val="19"/>
                <w:szCs w:val="19"/>
                <w:color w:val="auto"/>
              </w:rPr>
              <w:t>,</w:t>
            </w:r>
            <w:r>
              <w:rPr>
                <w:rFonts w:ascii="Times New Roman" w:cs="Times New Roman" w:eastAsia="Times New Roman" w:hAnsi="Times New Roman"/>
                <w:sz w:val="16"/>
                <w:szCs w:val="16"/>
                <w:b w:val="1"/>
                <w:bCs w:val="1"/>
                <w:color w:val="auto"/>
              </w:rPr>
              <w:t xml:space="preserve"> California</w:t>
            </w:r>
          </w:p>
        </w:tc>
        <w:tc>
          <w:tcPr>
            <w:tcW w:w="2420" w:type="dxa"/>
            <w:vAlign w:val="bottom"/>
          </w:tcPr>
          <w:p>
            <w:pPr>
              <w:spacing w:after="0"/>
              <w:rPr>
                <w:sz w:val="22"/>
                <w:szCs w:val="22"/>
                <w:color w:val="auto"/>
              </w:rPr>
            </w:pPr>
          </w:p>
        </w:tc>
        <w:tc>
          <w:tcPr>
            <w:tcW w:w="2820" w:type="dxa"/>
            <w:vAlign w:val="bottom"/>
          </w:tcPr>
          <w:p>
            <w:pPr>
              <w:jc w:val="right"/>
              <w:ind w:right="1168"/>
              <w:spacing w:after="0"/>
              <w:rPr>
                <w:sz w:val="20"/>
                <w:szCs w:val="20"/>
                <w:color w:val="auto"/>
              </w:rPr>
            </w:pPr>
            <w:r>
              <w:rPr>
                <w:rFonts w:ascii="Times New Roman" w:cs="Times New Roman" w:eastAsia="Times New Roman" w:hAnsi="Times New Roman"/>
                <w:sz w:val="16"/>
                <w:szCs w:val="16"/>
                <w:b w:val="1"/>
                <w:bCs w:val="1"/>
                <w:color w:val="auto"/>
              </w:rPr>
              <w:t>90017</w:t>
            </w:r>
          </w:p>
        </w:tc>
      </w:tr>
      <w:tr>
        <w:trPr>
          <w:trHeight w:val="173"/>
        </w:trPr>
        <w:tc>
          <w:tcPr>
            <w:tcW w:w="352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9"/>
              </w:rPr>
              <w:t>(Address of Principal Executive Offices)</w:t>
            </w:r>
          </w:p>
        </w:tc>
        <w:tc>
          <w:tcPr>
            <w:tcW w:w="242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(213) 316-6256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96" w:lineRule="exact"/>
        <w:rPr>
          <w:sz w:val="24"/>
          <w:szCs w:val="24"/>
          <w:color w:val="auto"/>
        </w:rPr>
      </w:pPr>
    </w:p>
    <w:p>
      <w:pPr>
        <w:ind w:left="460" w:right="500"/>
        <w:spacing w:after="0" w:line="295"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General Instruction A.2. below):</w:t>
      </w:r>
    </w:p>
    <w:p>
      <w:pPr>
        <w:spacing w:after="0" w:line="211" w:lineRule="exact"/>
        <w:rPr>
          <w:sz w:val="24"/>
          <w:szCs w:val="24"/>
          <w:color w:val="auto"/>
        </w:rPr>
      </w:pPr>
    </w:p>
    <w:p>
      <w:pPr>
        <w:ind w:left="460" w:hanging="445"/>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58" w:lineRule="exact"/>
        <w:rPr>
          <w:rFonts w:ascii="Wingdings" w:cs="Wingdings" w:eastAsia="Wingdings" w:hAnsi="Wingdings"/>
          <w:sz w:val="16"/>
          <w:szCs w:val="16"/>
          <w:b w:val="1"/>
          <w:bCs w:val="1"/>
          <w:color w:val="auto"/>
        </w:rPr>
      </w:pPr>
    </w:p>
    <w:p>
      <w:pPr>
        <w:ind w:left="460" w:hanging="445"/>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58" w:lineRule="exact"/>
        <w:rPr>
          <w:rFonts w:ascii="Wingdings" w:cs="Wingdings" w:eastAsia="Wingdings" w:hAnsi="Wingdings"/>
          <w:sz w:val="16"/>
          <w:szCs w:val="16"/>
          <w:b w:val="1"/>
          <w:bCs w:val="1"/>
          <w:color w:val="auto"/>
        </w:rPr>
      </w:pPr>
    </w:p>
    <w:p>
      <w:pPr>
        <w:ind w:left="460" w:hanging="445"/>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58" w:lineRule="exact"/>
        <w:rPr>
          <w:rFonts w:ascii="Wingdings" w:cs="Wingdings" w:eastAsia="Wingdings" w:hAnsi="Wingdings"/>
          <w:sz w:val="16"/>
          <w:szCs w:val="16"/>
          <w:b w:val="1"/>
          <w:bCs w:val="1"/>
          <w:color w:val="auto"/>
        </w:rPr>
      </w:pPr>
    </w:p>
    <w:p>
      <w:pPr>
        <w:ind w:left="460" w:hanging="445"/>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3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380"/>
        </w:trPr>
        <w:tc>
          <w:tcPr>
            <w:tcW w:w="20" w:type="dxa"/>
            <w:vAlign w:val="bottom"/>
          </w:tcPr>
          <w:p>
            <w:pPr>
              <w:spacing w:after="0"/>
              <w:rPr>
                <w:sz w:val="24"/>
                <w:szCs w:val="24"/>
                <w:color w:val="auto"/>
              </w:rPr>
            </w:pPr>
          </w:p>
        </w:tc>
        <w:tc>
          <w:tcPr>
            <w:tcW w:w="434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16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6"/>
        </w:trPr>
        <w:tc>
          <w:tcPr>
            <w:tcW w:w="2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$0.01 par value</w:t>
            </w: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tcPr>
          <w:p>
            <w:pPr>
              <w:jc w:val="center"/>
              <w:ind w:right="518"/>
              <w:spacing w:after="0"/>
              <w:rPr>
                <w:sz w:val="20"/>
                <w:szCs w:val="20"/>
                <w:color w:val="auto"/>
              </w:rPr>
            </w:pPr>
            <w:r>
              <w:rPr>
                <w:rFonts w:ascii="Times New Roman" w:cs="Times New Roman" w:eastAsia="Times New Roman" w:hAnsi="Times New Roman"/>
                <w:sz w:val="16"/>
                <w:szCs w:val="16"/>
                <w:color w:val="auto"/>
              </w:rPr>
              <w:t>MAX</w:t>
            </w:r>
          </w:p>
        </w:tc>
        <w:tc>
          <w:tcPr>
            <w:tcW w:w="80" w:type="dxa"/>
            <w:vAlign w:val="bottom"/>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84" w:lineRule="exact"/>
        <w:rPr>
          <w:sz w:val="24"/>
          <w:szCs w:val="24"/>
          <w:color w:val="auto"/>
        </w:rPr>
      </w:pPr>
    </w:p>
    <w:p>
      <w:pPr>
        <w:ind w:left="460" w:right="26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6" w:lineRule="exact"/>
        <w:rPr>
          <w:sz w:val="24"/>
          <w:szCs w:val="24"/>
          <w:color w:val="auto"/>
        </w:rPr>
      </w:pPr>
    </w:p>
    <w:p>
      <w:pPr>
        <w:ind w:left="460"/>
        <w:spacing w:after="0"/>
        <w:tabs>
          <w:tab w:leader="none" w:pos="24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Wingdings" w:cs="Wingdings" w:eastAsia="Wingdings" w:hAnsi="Wingdings"/>
          <w:sz w:val="16"/>
          <w:szCs w:val="16"/>
          <w:b w:val="1"/>
          <w:bCs w:val="1"/>
          <w:color w:val="auto"/>
        </w:rPr>
        <w:t>o</w:t>
      </w:r>
    </w:p>
    <w:p>
      <w:pPr>
        <w:spacing w:after="0" w:line="123" w:lineRule="exact"/>
        <w:rPr>
          <w:sz w:val="24"/>
          <w:szCs w:val="24"/>
          <w:color w:val="auto"/>
        </w:rPr>
      </w:pPr>
    </w:p>
    <w:p>
      <w:pPr>
        <w:ind w:left="460"/>
        <w:spacing w:after="0" w:line="26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802640</wp:posOffset>
            </wp:positionV>
            <wp:extent cx="716978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785" cy="412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198755</wp:posOffset>
            </wp:positionV>
            <wp:extent cx="71443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222250</wp:posOffset>
            </wp:positionV>
            <wp:extent cx="71443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133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 Results of Operations and Financial Condition.</w:t>
      </w:r>
    </w:p>
    <w:p>
      <w:pPr>
        <w:spacing w:after="0" w:line="16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On October 28, 2026, MediaAlpha, Inc. (“MediaAlpha” or the “Company”) issued a press release announcing its financial results as of and for the third quarter ended September 30, 2026, and its financial outlook for the fourth quarter and full year of 2026, and posted certain supplemental financial information to the Investor Relations section of its website. Copies of the press release and investor supplement are furnished as Exhibit 99.1 and Exhibit 99.2, respectively, to this Form 8-K and are incorporated by reference herein.</w:t>
      </w:r>
    </w:p>
    <w:p>
      <w:pPr>
        <w:spacing w:after="0" w:line="158"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6"/>
          <w:szCs w:val="16"/>
          <w:color w:val="auto"/>
        </w:rPr>
        <w:t>This information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37"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6"/>
          <w:szCs w:val="16"/>
          <w:color w:val="auto"/>
        </w:rPr>
        <w:t>MediaAlpha refers to non-GAAP financial information in the press release and investor supplement. A reconciliation of these non-GAAP financial measures to the comparable GAAP financial measures is contained in each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490855</wp:posOffset>
            </wp:positionV>
            <wp:extent cx="716978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ITEM 9.01 – Financial Statements and Exhibits.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6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auto"/>
                <w:w w:val="93"/>
              </w:rPr>
              <w:t>No.</w:t>
            </w:r>
          </w:p>
        </w:tc>
        <w:tc>
          <w:tcPr>
            <w:tcW w:w="840" w:type="dxa"/>
            <w:vAlign w:val="bottom"/>
            <w:gridSpan w:val="2"/>
          </w:tcPr>
          <w:p>
            <w:pPr>
              <w:spacing w:after="0"/>
              <w:rPr>
                <w:sz w:val="15"/>
                <w:szCs w:val="15"/>
                <w:color w:val="auto"/>
              </w:rPr>
            </w:pPr>
          </w:p>
        </w:tc>
        <w:tc>
          <w:tcPr>
            <w:tcW w:w="2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160" w:type="dxa"/>
            <w:vAlign w:val="bottom"/>
            <w:gridSpan w:val="3"/>
          </w:tcPr>
          <w:p>
            <w:pPr>
              <w:ind w:left="1680"/>
              <w:spacing w:after="0" w:line="177" w:lineRule="exact"/>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5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186"/>
        </w:trPr>
        <w:tc>
          <w:tcPr>
            <w:tcW w:w="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560" w:type="dxa"/>
            <w:vAlign w:val="bottom"/>
          </w:tcPr>
          <w:p>
            <w:pPr>
              <w:spacing w:after="0"/>
              <w:rPr>
                <w:sz w:val="16"/>
                <w:szCs w:val="16"/>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Press release dated October 28, 2026.</w:t>
            </w:r>
          </w:p>
        </w:tc>
      </w:tr>
      <w:tr>
        <w:trPr>
          <w:trHeight w:val="20"/>
        </w:trPr>
        <w:tc>
          <w:tcPr>
            <w:tcW w:w="5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r>
      <w:tr>
        <w:trPr>
          <w:trHeight w:val="226"/>
        </w:trPr>
        <w:tc>
          <w:tcPr>
            <w:tcW w:w="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560" w:type="dxa"/>
            <w:vAlign w:val="bottom"/>
          </w:tcPr>
          <w:p>
            <w:pPr>
              <w:spacing w:after="0"/>
              <w:rPr>
                <w:sz w:val="19"/>
                <w:szCs w:val="19"/>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Investor Supplement dated October 28, 2026.</w:t>
            </w:r>
          </w:p>
        </w:tc>
      </w:tr>
      <w:tr>
        <w:trPr>
          <w:trHeight w:val="20"/>
        </w:trPr>
        <w:tc>
          <w:tcPr>
            <w:tcW w:w="5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r>
      <w:tr>
        <w:trPr>
          <w:trHeight w:val="263"/>
        </w:trPr>
        <w:tc>
          <w:tcPr>
            <w:tcW w:w="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560" w:type="dxa"/>
            <w:vAlign w:val="bottom"/>
          </w:tcPr>
          <w:p>
            <w:pPr>
              <w:spacing w:after="0"/>
              <w:rPr>
                <w:sz w:val="22"/>
                <w:szCs w:val="22"/>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950"/>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3" w:lineRule="exact"/>
        <w:rPr>
          <w:sz w:val="20"/>
          <w:szCs w:val="20"/>
          <w:color w:val="auto"/>
        </w:rPr>
      </w:pPr>
    </w:p>
    <w:p>
      <w:pPr>
        <w:ind w:right="460" w:firstLine="590"/>
        <w:spacing w:after="0" w:line="29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260" w:type="dxa"/>
            <w:vAlign w:val="bottom"/>
          </w:tcPr>
          <w:p>
            <w:pPr>
              <w:spacing w:after="0"/>
              <w:rPr>
                <w:sz w:val="18"/>
                <w:szCs w:val="18"/>
                <w:color w:val="auto"/>
              </w:rPr>
            </w:pPr>
          </w:p>
        </w:tc>
        <w:tc>
          <w:tcPr>
            <w:tcW w:w="2960" w:type="dxa"/>
            <w:vAlign w:val="bottom"/>
            <w:gridSpan w:val="2"/>
          </w:tcPr>
          <w:p>
            <w:pPr>
              <w:ind w:left="1720"/>
              <w:spacing w:after="0"/>
              <w:rPr>
                <w:sz w:val="20"/>
                <w:szCs w:val="20"/>
                <w:color w:val="auto"/>
              </w:rPr>
            </w:pPr>
            <w:r>
              <w:rPr>
                <w:rFonts w:ascii="Times New Roman" w:cs="Times New Roman" w:eastAsia="Times New Roman" w:hAnsi="Times New Roman"/>
                <w:sz w:val="16"/>
                <w:szCs w:val="16"/>
                <w:b w:val="1"/>
                <w:bCs w:val="1"/>
                <w:color w:val="auto"/>
              </w:rPr>
              <w:t>MediaAlpha, Inc.</w:t>
            </w:r>
          </w:p>
        </w:tc>
        <w:tc>
          <w:tcPr>
            <w:tcW w:w="5000" w:type="dxa"/>
            <w:vAlign w:val="bottom"/>
          </w:tcPr>
          <w:p>
            <w:pPr>
              <w:spacing w:after="0"/>
              <w:rPr>
                <w:sz w:val="18"/>
                <w:szCs w:val="18"/>
                <w:color w:val="auto"/>
              </w:rPr>
            </w:pPr>
          </w:p>
        </w:tc>
      </w:tr>
      <w:tr>
        <w:trPr>
          <w:trHeight w:val="441"/>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28, 2026</w:t>
            </w:r>
          </w:p>
        </w:tc>
        <w:tc>
          <w:tcPr>
            <w:tcW w:w="7960" w:type="dxa"/>
            <w:vAlign w:val="bottom"/>
            <w:gridSpan w:val="3"/>
          </w:tcPr>
          <w:p>
            <w:pPr>
              <w:ind w:left="1720"/>
              <w:spacing w:after="0"/>
              <w:rPr>
                <w:sz w:val="20"/>
                <w:szCs w:val="20"/>
                <w:color w:val="auto"/>
              </w:rPr>
            </w:pPr>
            <w:r>
              <w:rPr>
                <w:rFonts w:ascii="Times New Roman" w:cs="Times New Roman" w:eastAsia="Times New Roman" w:hAnsi="Times New Roman"/>
                <w:sz w:val="16"/>
                <w:szCs w:val="16"/>
                <w:color w:val="auto"/>
              </w:rPr>
              <w:t>By:   /s/ Jeffrey B. Coyne</w:t>
            </w:r>
          </w:p>
        </w:tc>
      </w:tr>
      <w:tr>
        <w:trPr>
          <w:trHeight w:val="197"/>
        </w:trPr>
        <w:tc>
          <w:tcPr>
            <w:tcW w:w="3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Jeffrey B. Coyne</w:t>
            </w:r>
          </w:p>
        </w:tc>
      </w:tr>
      <w:tr>
        <w:trPr>
          <w:trHeight w:val="214"/>
        </w:trPr>
        <w:tc>
          <w:tcPr>
            <w:tcW w:w="3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Counsel &amp; Secretary</w:t>
            </w:r>
          </w:p>
        </w:tc>
      </w:tr>
    </w:tbl>
    <w:p>
      <w:pPr>
        <w:sectPr>
          <w:pgSz w:w="11900" w:h="16838" w:orient="portrait"/>
          <w:cols w:equalWidth="0" w:num="1">
            <w:col w:w="11240"/>
          </w:cols>
          <w:pgMar w:left="320" w:top="90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MEDIAALPHA ANNOUNCES THIRD QUARTER 2026</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FINANCIAL RESULTS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All-Time Record Revenue of $375.9 million, up 23% year over year</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Third Quarter Net Income of $29.4 million; Record Adjusted EBITDA</w:t>
      </w:r>
      <w:r>
        <w:rPr>
          <w:rFonts w:ascii="Times New Roman" w:cs="Times New Roman" w:eastAsia="Times New Roman" w:hAnsi="Times New Roman"/>
          <w:sz w:val="21"/>
          <w:szCs w:val="21"/>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 xml:space="preserve"> of $39.5 million</w:t>
      </w:r>
    </w:p>
    <w:p>
      <w:pPr>
        <w:spacing w:after="0" w:line="200" w:lineRule="exact"/>
        <w:rPr>
          <w:sz w:val="20"/>
          <w:szCs w:val="20"/>
          <w:color w:val="auto"/>
        </w:rPr>
      </w:pPr>
    </w:p>
    <w:p>
      <w:pPr>
        <w:spacing w:after="0" w:line="214"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8"/>
          <w:szCs w:val="18"/>
          <w:color w:val="auto"/>
        </w:rPr>
        <w:t>Los Angeles, CA (October 28, 2026) – MediaAlpha, Inc. (NYSE: MAX) ("MediaAlpha" or the "Company"), today announced its financial results for the third quarter ended September 30, 2026.</w:t>
      </w:r>
    </w:p>
    <w:p>
      <w:pPr>
        <w:spacing w:after="0" w:line="15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“We delivered a milestone third quarter, achieving record results across all of our key metrics as demand continued to broaden in our marketplace,” said Steve Yi, CEO of MediaAlpha. “Carriers are competing aggressively for new policies and committing meaningful budgets in both home and auto insurance, which is driving stronger outcomes for our partners. Looking forward, we believe the shift toward digital customer acquisition, combined with our industry-leading scale advantages, will allow us to drive double-digit growth in 2027 and beyond.”</w:t>
      </w:r>
    </w:p>
    <w:p>
      <w:pPr>
        <w:spacing w:after="0" w:line="189"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MediaAlpha CFO Tigran Sinanyan added, “Our strong operating leverage and cash generation continue to give us the flexibility to invest in growth while returning capital to shareholders. In September, we repurchased a portion of our TRA liability, which had a book value of $23 million, for $12 million. We also repurchased $9 million of our stock during the quarter. As of October 26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we have completed $82 million of our $100 million repurchase authorization, and have repurchased $115 million since last September.”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Results</w:t>
      </w:r>
    </w:p>
    <w:p>
      <w:pPr>
        <w:spacing w:after="0" w:line="31" w:lineRule="exact"/>
        <w:rPr>
          <w:sz w:val="20"/>
          <w:szCs w:val="20"/>
          <w:color w:val="auto"/>
        </w:rPr>
      </w:pPr>
    </w:p>
    <w:p>
      <w:pPr>
        <w:ind w:left="580" w:hanging="287"/>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$375.9 million, an increase of 22.7% year over year;</w:t>
      </w:r>
    </w:p>
    <w:p>
      <w:pPr>
        <w:spacing w:after="0" w:line="8" w:lineRule="exact"/>
        <w:rPr>
          <w:rFonts w:ascii="Times New Roman" w:cs="Times New Roman" w:eastAsia="Times New Roman" w:hAnsi="Times New Roman"/>
          <w:sz w:val="18"/>
          <w:szCs w:val="18"/>
          <w:color w:val="auto"/>
        </w:rPr>
      </w:pPr>
    </w:p>
    <w:p>
      <w:pPr>
        <w:ind w:left="580" w:hanging="287"/>
        <w:spacing w:after="0"/>
        <w:tabs>
          <w:tab w:leader="none" w:pos="580" w:val="left"/>
        </w:tabs>
        <w:numPr>
          <w:ilvl w:val="0"/>
          <w:numId w:val="2"/>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Gross profit of $55.3 million, an increase of 27.5% year over year;</w:t>
      </w:r>
    </w:p>
    <w:p>
      <w:pPr>
        <w:spacing w:after="0" w:line="7" w:lineRule="exact"/>
        <w:rPr>
          <w:rFonts w:ascii="Times New Roman" w:cs="Times New Roman" w:eastAsia="Times New Roman" w:hAnsi="Times New Roman"/>
          <w:sz w:val="18"/>
          <w:szCs w:val="18"/>
          <w:color w:val="auto"/>
          <w:strike w:val="1"/>
        </w:rPr>
      </w:pPr>
    </w:p>
    <w:p>
      <w:pPr>
        <w:ind w:left="580" w:hanging="287"/>
        <w:spacing w:after="0"/>
        <w:tabs>
          <w:tab w:leader="none" w:pos="58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Gross margin of 14.7%, compared with 14.2% in the third quarter of 2025;</w:t>
      </w:r>
    </w:p>
    <w:p>
      <w:pPr>
        <w:spacing w:after="0" w:line="29" w:lineRule="exact"/>
        <w:rPr>
          <w:rFonts w:ascii="Arial" w:cs="Arial" w:eastAsia="Arial" w:hAnsi="Arial"/>
          <w:sz w:val="18"/>
          <w:szCs w:val="18"/>
          <w:color w:val="auto"/>
        </w:rPr>
      </w:pPr>
    </w:p>
    <w:p>
      <w:pPr>
        <w:ind w:left="580" w:hanging="287"/>
        <w:spacing w:after="0" w:line="236"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$57.4 million, an increase of 25.8% year over year;</w:t>
      </w:r>
    </w:p>
    <w:p>
      <w:pPr>
        <w:ind w:left="580" w:hanging="287"/>
        <w:spacing w:after="0" w:line="200" w:lineRule="auto"/>
        <w:tabs>
          <w:tab w:leader="none" w:pos="58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Contribution Margin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15.3%, compared with 14.9% in the third quarter of 2025;</w:t>
      </w:r>
    </w:p>
    <w:p>
      <w:pPr>
        <w:ind w:left="580" w:hanging="287"/>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$29.4 million, an increase of 66.4% year over year;</w:t>
      </w:r>
    </w:p>
    <w:p>
      <w:pPr>
        <w:spacing w:after="0" w:line="7" w:lineRule="exact"/>
        <w:rPr>
          <w:rFonts w:ascii="Times New Roman" w:cs="Times New Roman" w:eastAsia="Times New Roman" w:hAnsi="Times New Roman"/>
          <w:sz w:val="18"/>
          <w:szCs w:val="18"/>
          <w:color w:val="auto"/>
        </w:rPr>
      </w:pPr>
    </w:p>
    <w:p>
      <w:pPr>
        <w:ind w:left="580" w:hanging="287"/>
        <w:spacing w:after="0" w:line="206"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$39.5 million, an increase of 35.8% year over year; and</w:t>
      </w:r>
    </w:p>
    <w:p>
      <w:pPr>
        <w:ind w:left="580" w:right="40" w:hanging="287"/>
        <w:spacing w:after="0" w:line="250" w:lineRule="auto"/>
        <w:tabs>
          <w:tab w:leader="none" w:pos="5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0.8 million shares for $9 million, bringing cumulative repurchases under the Company's $100 million share repurchase program to $64 million (6.2 million shares).</w:t>
      </w:r>
    </w:p>
    <w:p>
      <w:pPr>
        <w:spacing w:after="0" w:line="19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A reconciliation of GAAP to Non-GAAP financial measures has been provided at the end of this press release. An explanation of these measures is also included below under the heading “Non-GAAP Financial Measures.”</w:t>
      </w:r>
    </w:p>
    <w:p>
      <w:pPr>
        <w:sectPr>
          <w:pgSz w:w="11900" w:h="16838" w:orient="portrait"/>
          <w:cols w:equalWidth="0" w:num="1">
            <w:col w:w="11240"/>
          </w:cols>
          <w:pgMar w:left="320" w:top="119" w:right="339" w:bottom="1440" w:gutter="0" w:footer="0" w:header="0"/>
        </w:sectPr>
      </w:pPr>
    </w:p>
    <w:bookmarkStart w:id="5" w:name="page6"/>
    <w:bookmarkEnd w:id="5"/>
    <w:p>
      <w:pPr>
        <w:spacing w:after="0" w:line="5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67" w:lineRule="exact"/>
        <w:rPr>
          <w:sz w:val="20"/>
          <w:szCs w:val="20"/>
          <w:color w:val="auto"/>
        </w:rPr>
      </w:pPr>
    </w:p>
    <w:p>
      <w:pPr>
        <w:ind w:left="2" w:right="260"/>
        <w:spacing w:after="0" w:line="254" w:lineRule="auto"/>
        <w:rPr>
          <w:sz w:val="20"/>
          <w:szCs w:val="20"/>
          <w:color w:val="auto"/>
        </w:rPr>
      </w:pPr>
      <w:r>
        <w:rPr>
          <w:rFonts w:ascii="Times New Roman" w:cs="Times New Roman" w:eastAsia="Times New Roman" w:hAnsi="Times New Roman"/>
          <w:sz w:val="18"/>
          <w:szCs w:val="18"/>
          <w:color w:val="auto"/>
        </w:rPr>
        <w:t>Our guidance for the fourth quarter of 2026 reflects continued strength in our Property &amp; Casualty (P&amp;C) insurance vertical, driven by strong carrier growth investment and continued share gains. We expect our Health insurance vertical to account for approximately 4% of revenue in the fourth quarter, reflecting the seasonal peak due to the annual enrollment periods during the quarter.</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For the fourth quarter of 2026, MediaAlpha currently expects the following:</w:t>
      </w:r>
    </w:p>
    <w:p>
      <w:pPr>
        <w:spacing w:after="0" w:line="240" w:lineRule="exact"/>
        <w:rPr>
          <w:sz w:val="20"/>
          <w:szCs w:val="20"/>
          <w:color w:val="auto"/>
        </w:rPr>
      </w:pPr>
    </w:p>
    <w:p>
      <w:pPr>
        <w:ind w:left="582" w:hanging="287"/>
        <w:spacing w:after="0"/>
        <w:tabs>
          <w:tab w:leader="none" w:pos="58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Revenue between $355 million - $375 million, representing a 25% year-over-year increase at the midpoint of the guidance range.</w:t>
      </w:r>
    </w:p>
    <w:p>
      <w:pPr>
        <w:spacing w:after="0" w:line="10" w:lineRule="exact"/>
        <w:rPr>
          <w:rFonts w:ascii="Times New Roman" w:cs="Times New Roman" w:eastAsia="Times New Roman" w:hAnsi="Times New Roman"/>
          <w:sz w:val="20"/>
          <w:szCs w:val="20"/>
          <w:color w:val="auto"/>
        </w:rPr>
      </w:pPr>
    </w:p>
    <w:p>
      <w:pPr>
        <w:ind w:left="582" w:hanging="287"/>
        <w:spacing w:after="0"/>
        <w:tabs>
          <w:tab w:leader="none" w:pos="5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between $54.0 million - $57.0 million, representing a 18% year-over-year increase at the midpoint of the guidance range.</w:t>
      </w:r>
    </w:p>
    <w:p>
      <w:pPr>
        <w:spacing w:after="0" w:line="8" w:lineRule="exact"/>
        <w:rPr>
          <w:rFonts w:ascii="Times New Roman" w:cs="Times New Roman" w:eastAsia="Times New Roman" w:hAnsi="Times New Roman"/>
          <w:sz w:val="18"/>
          <w:szCs w:val="18"/>
          <w:color w:val="auto"/>
        </w:rPr>
      </w:pPr>
    </w:p>
    <w:p>
      <w:pPr>
        <w:ind w:left="582" w:hanging="287"/>
        <w:spacing w:after="0"/>
        <w:tabs>
          <w:tab w:leader="none" w:pos="58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Adjusted EBITDA between $36.0 million - $39.0 million, representing a 22% year-over-year increase at the midpoint of the guidance range.</w:t>
      </w:r>
    </w:p>
    <w:p>
      <w:pPr>
        <w:spacing w:after="0" w:line="9" w:lineRule="exact"/>
        <w:rPr>
          <w:rFonts w:ascii="Times New Roman" w:cs="Times New Roman" w:eastAsia="Times New Roman" w:hAnsi="Times New Roman"/>
          <w:sz w:val="20"/>
          <w:szCs w:val="20"/>
          <w:color w:val="auto"/>
        </w:rPr>
      </w:pPr>
    </w:p>
    <w:p>
      <w:pPr>
        <w:ind w:left="582" w:right="60" w:hanging="287"/>
        <w:spacing w:after="0" w:line="293" w:lineRule="auto"/>
        <w:tabs>
          <w:tab w:leader="none" w:pos="571"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Excluding under-65 Health, we expect Contribution to increase by 21% year over year and Adjusted EBITDA to increase by 26% year over year at the guidance midpoints.</w:t>
      </w:r>
    </w:p>
    <w:p>
      <w:pPr>
        <w:spacing w:after="0" w:line="15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For the full year, we continue to expect to generate between $90 million - $100 million in free cash flow</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2"/>
        <w:spacing w:after="0" w:line="270" w:lineRule="auto"/>
        <w:rPr>
          <w:sz w:val="20"/>
          <w:szCs w:val="20"/>
          <w:color w:val="auto"/>
        </w:rPr>
      </w:pPr>
      <w:r>
        <w:rPr>
          <w:rFonts w:ascii="Times New Roman" w:cs="Times New Roman" w:eastAsia="Times New Roman" w:hAnsi="Times New Roman"/>
          <w:sz w:val="17"/>
          <w:szCs w:val="17"/>
          <w:color w:val="auto"/>
        </w:rPr>
        <w:t>With respect to the Company’s projections of Adjusted EBITDA and Contribution under “Financial Outlook,” MediaAlpha is not providing a reconciliation of Adjusted EBITDA to net income (loss), or of Contribution to gross profit, because the Company is unable to predict with reasonable certainty the reconciling items that may affect the corresponding GAAP measures without unreasonable effort. These reconciling items are uncertain, depend on various factors and could significantly impact, either individually or in the aggregate, the corresponding GAAP measures for the applicable period.</w:t>
      </w:r>
    </w:p>
    <w:p>
      <w:pPr>
        <w:ind w:left="2"/>
        <w:spacing w:after="0"/>
        <w:rPr>
          <w:sz w:val="20"/>
          <w:szCs w:val="20"/>
          <w:color w:val="auto"/>
        </w:rPr>
      </w:pPr>
      <w:r>
        <w:rPr>
          <w:rFonts w:ascii="Times New Roman" w:cs="Times New Roman" w:eastAsia="Times New Roman" w:hAnsi="Times New Roman"/>
          <w:sz w:val="18"/>
          <w:szCs w:val="18"/>
          <w:color w:val="auto"/>
        </w:rPr>
        <w:t>For a detailed explanation of the Company’s non-GAAP measures, please refer to the appendix section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wp:posOffset>
            </wp:positionV>
            <wp:extent cx="15601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01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2" w:hanging="102"/>
        <w:spacing w:after="0"/>
        <w:tabs>
          <w:tab w:leader="none" w:pos="10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Free cash flow is the Company's cash flow from operating activities less capital expenditures.</w:t>
      </w:r>
    </w:p>
    <w:p>
      <w:pPr>
        <w:sectPr>
          <w:pgSz w:w="11900" w:h="16838" w:orient="portrait"/>
          <w:cols w:equalWidth="0" w:num="1">
            <w:col w:w="11242"/>
          </w:cols>
          <w:pgMar w:left="318" w:top="1440" w:right="339" w:bottom="1440" w:gutter="0" w:footer="0" w:header="0"/>
        </w:sectPr>
      </w:pPr>
    </w:p>
    <w:bookmarkStart w:id="6" w:name="page7"/>
    <w:bookmarkEnd w:id="6"/>
    <w:p>
      <w:pPr>
        <w:ind w:left="2"/>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67" w:lineRule="exact"/>
        <w:rPr>
          <w:sz w:val="20"/>
          <w:szCs w:val="20"/>
          <w:color w:val="auto"/>
        </w:rPr>
      </w:pPr>
    </w:p>
    <w:p>
      <w:pPr>
        <w:ind w:left="2" w:right="140"/>
        <w:spacing w:after="0" w:line="254" w:lineRule="auto"/>
        <w:rPr>
          <w:sz w:val="20"/>
          <w:szCs w:val="20"/>
          <w:color w:val="auto"/>
        </w:rPr>
      </w:pPr>
      <w:r>
        <w:rPr>
          <w:rFonts w:ascii="Times New Roman" w:cs="Times New Roman" w:eastAsia="Times New Roman" w:hAnsi="Times New Roman"/>
          <w:sz w:val="18"/>
          <w:szCs w:val="18"/>
          <w:color w:val="auto"/>
        </w:rPr>
        <w:t xml:space="preserve">MediaAlpha will host a Q&amp;A conference call today to discuss the Company's third quarter 2026 results and its financial outlook for the fourth quarter and full year of 2026 at 2:00 p.m. Pacific Time (5:00 p.m. Eastern Time). A live audio webcast of the call will be available on the MediaAlpha Investor Relations website at </w:t>
      </w:r>
      <w:r>
        <w:rPr>
          <w:rFonts w:ascii="Times New Roman" w:cs="Times New Roman" w:eastAsia="Times New Roman" w:hAnsi="Times New Roman"/>
          <w:sz w:val="18"/>
          <w:szCs w:val="18"/>
          <w:u w:val="single" w:color="auto"/>
          <w:color w:val="auto"/>
        </w:rPr>
        <w:t>https://investors.mediaalpha.com</w:t>
      </w:r>
      <w:r>
        <w:rPr>
          <w:rFonts w:ascii="Times New Roman" w:cs="Times New Roman" w:eastAsia="Times New Roman" w:hAnsi="Times New Roman"/>
          <w:sz w:val="18"/>
          <w:szCs w:val="18"/>
          <w:color w:val="auto"/>
        </w:rPr>
        <w:t>. To register for the webcast, click here. Participants may also dial-in, toll-free, at (800) 715-9871 or</w:t>
      </w:r>
    </w:p>
    <w:p>
      <w:pPr>
        <w:spacing w:after="0" w:line="2" w:lineRule="exact"/>
        <w:rPr>
          <w:sz w:val="20"/>
          <w:szCs w:val="20"/>
          <w:color w:val="auto"/>
        </w:rPr>
      </w:pPr>
    </w:p>
    <w:p>
      <w:pPr>
        <w:ind w:left="2" w:right="500" w:hanging="2"/>
        <w:spacing w:after="0" w:line="265" w:lineRule="auto"/>
        <w:tabs>
          <w:tab w:leader="none" w:pos="4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307-1963, with passcode 9738953. An audio replay of the conference call will be available following the call and available on the MediaAlpha Investor Relations website at </w:t>
      </w:r>
      <w:r>
        <w:rPr>
          <w:rFonts w:ascii="Times New Roman" w:cs="Times New Roman" w:eastAsia="Times New Roman" w:hAnsi="Times New Roman"/>
          <w:sz w:val="18"/>
          <w:szCs w:val="18"/>
          <w:u w:val="single" w:color="auto"/>
          <w:color w:val="auto"/>
        </w:rPr>
        <w:t>https://investors.mediaalpha.com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 w:right="280"/>
        <w:spacing w:after="0" w:line="265" w:lineRule="auto"/>
        <w:rPr>
          <w:sz w:val="20"/>
          <w:szCs w:val="20"/>
          <w:color w:val="auto"/>
        </w:rPr>
      </w:pPr>
      <w:r>
        <w:rPr>
          <w:rFonts w:ascii="Times New Roman" w:cs="Times New Roman" w:eastAsia="Times New Roman" w:hAnsi="Times New Roman"/>
          <w:sz w:val="18"/>
          <w:szCs w:val="18"/>
          <w:color w:val="auto"/>
        </w:rPr>
        <w:t xml:space="preserve">The Company has also posted </w:t>
      </w:r>
      <w:r>
        <w:rPr>
          <w:rFonts w:ascii="Times New Roman" w:cs="Times New Roman" w:eastAsia="Times New Roman" w:hAnsi="Times New Roman"/>
          <w:sz w:val="18"/>
          <w:szCs w:val="18"/>
          <w:u w:val="single" w:color="auto"/>
          <w:color w:val="0000FF"/>
        </w:rPr>
        <w:t>investor supplemental materials</w:t>
      </w:r>
      <w:r>
        <w:rPr>
          <w:rFonts w:ascii="Times New Roman" w:cs="Times New Roman" w:eastAsia="Times New Roman" w:hAnsi="Times New Roman"/>
          <w:sz w:val="18"/>
          <w:szCs w:val="18"/>
          <w:color w:val="auto"/>
        </w:rPr>
        <w:t xml:space="preserve"> on its investor relations website. MediaAlpha has used, and intends to continue to use, its investor relations website at </w:t>
      </w:r>
      <w:r>
        <w:rPr>
          <w:rFonts w:ascii="Times New Roman" w:cs="Times New Roman" w:eastAsia="Times New Roman" w:hAnsi="Times New Roman"/>
          <w:sz w:val="18"/>
          <w:szCs w:val="18"/>
          <w:u w:val="single" w:color="auto"/>
          <w:color w:val="auto"/>
        </w:rPr>
        <w:t>https://investors.mediaalpha.com</w:t>
      </w:r>
      <w:r>
        <w:rPr>
          <w:rFonts w:ascii="Times New Roman" w:cs="Times New Roman" w:eastAsia="Times New Roman" w:hAnsi="Times New Roman"/>
          <w:sz w:val="18"/>
          <w:szCs w:val="18"/>
          <w:color w:val="auto"/>
        </w:rPr>
        <w:t xml:space="preserve"> as a means of disclosing material nonpublic information and for complying with its disclosure obligations under Regulation FD.</w:t>
      </w:r>
    </w:p>
    <w:p>
      <w:pPr>
        <w:spacing w:after="0" w:line="14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7"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without limitation statements regarding our belief that carriers are competing aggressively for new policies and committing meaningful budgets in both home and auto insurance; our belief that the shift toward digital customer acquisition, combined with our industry-leading scale advantages, will allow us to drive double-digit growth in 2027 and beyond; and our financial outlook for the fourth quarter and full year of 2026. These forward-looking statements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3" w:lineRule="exact"/>
        <w:rPr>
          <w:sz w:val="20"/>
          <w:szCs w:val="20"/>
          <w:color w:val="auto"/>
        </w:rPr>
      </w:pPr>
    </w:p>
    <w:p>
      <w:pPr>
        <w:jc w:val="both"/>
        <w:ind w:left="2"/>
        <w:spacing w:after="0" w:line="257"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those more fully described in MediaAlpha’s filings with the Securities and Exchange Commission (“SEC”), including the Form 10-K filed on February 23, 2026 and the Forms 10-Q filed on April 29, 2026 and July 29, 2026, and to be filed on October 28, 2026. These factors should not be construed as exhaustive. MediaAlpha disclaims any obligation to update any forward-looking statements to reflect events or circumstances that occur after the date of this press release.</w:t>
      </w:r>
    </w:p>
    <w:p>
      <w:pPr>
        <w:sectPr>
          <w:pgSz w:w="11900" w:h="16838" w:orient="portrait"/>
          <w:cols w:equalWidth="0" w:num="1">
            <w:col w:w="11242"/>
          </w:cols>
          <w:pgMar w:left="318" w:top="1294" w:right="339" w:bottom="1440" w:gutter="0" w:footer="0" w:header="0"/>
        </w:sectPr>
      </w:pPr>
    </w:p>
    <w:bookmarkStart w:id="7" w:name="page8"/>
    <w:bookmarkEnd w:id="7"/>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Operating Metrics</w:t>
      </w:r>
    </w:p>
    <w:p>
      <w:pPr>
        <w:spacing w:after="0" w:line="6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This press release includes Adjusted EBITDA, Contribution, and Contribution Margin, which are non-GAAP financial measures. See the appendix for definitions of Adjusted EBITDA, Contribution and Contribution Margin, as well as reconciliations to the corresponding GAAP financial metrics, as applicable.</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present Adjusted EBITDA, Contribution, and Contribution Margin because they are used extensively by our management and board of directors to manage our operating performance, including evaluating our operational performance against budget and assessing our overall operating efficiency and operating leverage. Accordingly, we believe that Adjusted EBITDA, Contribution, and Contribution Margin provide useful information to investors and others in understanding and evaluating our operating results in the same manner as our management team and board of directors. Each of Adjusted EBITDA, Contribution, and Contribution Margin has limitations as a financial measure and investors should not consider it in isolation or as a substitute for analysis of our results as reported under GAAP.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MediaAlpha</w:t>
      </w:r>
    </w:p>
    <w:p>
      <w:pPr>
        <w:spacing w:after="0" w:line="31"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We believe we are the insurance industry’s leading programmatic customer acquisition platform. With more than 1,150 active partners, in addition to our agent partners, we connect insurance carriers with online shoppers and generated over 141 million Consumer Referrals in 2025. Our programmatic advertising technology powered $2.2 billion in spend in 2025 on brand, comparison, and metasearch sites across property &amp; casualty insurance, health insurance, life insurance, and other industries. For more information, please visit www.mediaalpha.com.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investors@mediaalpha.com</w:t>
      </w:r>
    </w:p>
    <w:p>
      <w:pPr>
        <w:sectPr>
          <w:pgSz w:w="11900" w:h="16838" w:orient="portrait"/>
          <w:cols w:equalWidth="0" w:num="1">
            <w:col w:w="11260"/>
          </w:cols>
          <w:pgMar w:left="320" w:top="1440"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MediaAlpha,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 in thousands, except share data and per share amounts)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59"/>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7"/>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539"/>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42"/>
        </w:trPr>
        <w:tc>
          <w:tcPr>
            <w:tcW w:w="80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46,876</w:t>
            </w:r>
          </w:p>
        </w:tc>
        <w:tc>
          <w:tcPr>
            <w:tcW w:w="0" w:type="dxa"/>
            <w:vAlign w:val="bottom"/>
          </w:tcPr>
          <w:p>
            <w:pPr>
              <w:spacing w:after="0"/>
              <w:rPr>
                <w:sz w:val="1"/>
                <w:szCs w:val="1"/>
                <w:color w:val="auto"/>
              </w:rPr>
            </w:pPr>
          </w:p>
        </w:tc>
      </w:tr>
      <w:tr>
        <w:trPr>
          <w:trHeight w:val="234"/>
        </w:trPr>
        <w:tc>
          <w:tcPr>
            <w:tcW w:w="8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$945 and $717,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123,019</w:t>
            </w:r>
          </w:p>
        </w:tc>
        <w:tc>
          <w:tcPr>
            <w:tcW w:w="0" w:type="dxa"/>
            <w:vAlign w:val="bottom"/>
          </w:tcPr>
          <w:p>
            <w:pPr>
              <w:spacing w:after="0"/>
              <w:rPr>
                <w:sz w:val="1"/>
                <w:szCs w:val="1"/>
                <w:color w:val="auto"/>
              </w:rPr>
            </w:pPr>
          </w:p>
        </w:tc>
      </w:tr>
      <w:tr>
        <w:trPr>
          <w:trHeight w:val="36"/>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0" w:type="dxa"/>
            <w:vAlign w:val="bottom"/>
          </w:tcPr>
          <w:p>
            <w:pPr>
              <w:spacing w:after="0"/>
              <w:rPr>
                <w:sz w:val="1"/>
                <w:szCs w:val="1"/>
                <w:color w:val="auto"/>
              </w:rPr>
            </w:pPr>
          </w:p>
        </w:tc>
      </w:tr>
      <w:tr>
        <w:trPr>
          <w:trHeight w:val="227"/>
        </w:trPr>
        <w:tc>
          <w:tcPr>
            <w:tcW w:w="80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192,709</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174,372</w:t>
            </w:r>
          </w:p>
        </w:tc>
        <w:tc>
          <w:tcPr>
            <w:tcW w:w="0" w:type="dxa"/>
            <w:vAlign w:val="bottom"/>
          </w:tcPr>
          <w:p>
            <w:pPr>
              <w:spacing w:after="0"/>
              <w:rPr>
                <w:sz w:val="1"/>
                <w:szCs w:val="1"/>
                <w:color w:val="auto"/>
              </w:rPr>
            </w:pPr>
          </w:p>
        </w:tc>
      </w:tr>
      <w:tr>
        <w:trPr>
          <w:trHeight w:val="36"/>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0" w:type="dxa"/>
            <w:vAlign w:val="bottom"/>
          </w:tcPr>
          <w:p>
            <w:pPr>
              <w:spacing w:after="0"/>
              <w:rPr>
                <w:sz w:val="1"/>
                <w:szCs w:val="1"/>
                <w:color w:val="auto"/>
              </w:rPr>
            </w:pP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47,739</w:t>
            </w:r>
          </w:p>
        </w:tc>
        <w:tc>
          <w:tcPr>
            <w:tcW w:w="0" w:type="dxa"/>
            <w:vAlign w:val="bottom"/>
          </w:tcPr>
          <w:p>
            <w:pPr>
              <w:spacing w:after="0"/>
              <w:rPr>
                <w:sz w:val="1"/>
                <w:szCs w:val="1"/>
                <w:color w:val="auto"/>
              </w:rPr>
            </w:pPr>
          </w:p>
        </w:tc>
      </w:tr>
      <w:tr>
        <w:trPr>
          <w:trHeight w:val="36"/>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149,734</w:t>
            </w:r>
          </w:p>
        </w:tc>
        <w:tc>
          <w:tcPr>
            <w:tcW w:w="0" w:type="dxa"/>
            <w:vAlign w:val="bottom"/>
          </w:tcPr>
          <w:p>
            <w:pPr>
              <w:spacing w:after="0"/>
              <w:rPr>
                <w:sz w:val="1"/>
                <w:szCs w:val="1"/>
                <w:color w:val="auto"/>
              </w:rPr>
            </w:pP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8,396</w:t>
            </w:r>
          </w:p>
        </w:tc>
        <w:tc>
          <w:tcPr>
            <w:tcW w:w="0" w:type="dxa"/>
            <w:vAlign w:val="bottom"/>
          </w:tcPr>
          <w:p>
            <w:pPr>
              <w:spacing w:after="0"/>
              <w:rPr>
                <w:sz w:val="1"/>
                <w:szCs w:val="1"/>
                <w:color w:val="auto"/>
              </w:rPr>
            </w:pPr>
          </w:p>
        </w:tc>
      </w:tr>
      <w:tr>
        <w:trPr>
          <w:trHeight w:val="36"/>
        </w:trPr>
        <w:tc>
          <w:tcPr>
            <w:tcW w:w="80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8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372,225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383,831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121,718</w:t>
            </w:r>
          </w:p>
        </w:tc>
        <w:tc>
          <w:tcPr>
            <w:tcW w:w="120" w:type="dxa"/>
            <w:vAlign w:val="bottom"/>
          </w:tcPr>
          <w:p>
            <w:pPr>
              <w:spacing w:after="0"/>
              <w:rPr>
                <w:sz w:val="20"/>
                <w:szCs w:val="20"/>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91,094</w:t>
            </w:r>
          </w:p>
        </w:tc>
        <w:tc>
          <w:tcPr>
            <w:tcW w:w="0" w:type="dxa"/>
            <w:vAlign w:val="bottom"/>
          </w:tcPr>
          <w:p>
            <w:pPr>
              <w:spacing w:after="0"/>
              <w:rPr>
                <w:sz w:val="1"/>
                <w:szCs w:val="1"/>
                <w:color w:val="auto"/>
              </w:rPr>
            </w:pPr>
          </w:p>
        </w:tc>
      </w:tr>
      <w:tr>
        <w:trPr>
          <w:trHeight w:val="36"/>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34,746</w:t>
            </w:r>
          </w:p>
        </w:tc>
        <w:tc>
          <w:tcPr>
            <w:tcW w:w="0" w:type="dxa"/>
            <w:vAlign w:val="bottom"/>
          </w:tcPr>
          <w:p>
            <w:pPr>
              <w:spacing w:after="0"/>
              <w:rPr>
                <w:sz w:val="1"/>
                <w:szCs w:val="1"/>
                <w:color w:val="auto"/>
              </w:rPr>
            </w:pPr>
          </w:p>
        </w:tc>
      </w:tr>
      <w:tr>
        <w:trPr>
          <w:trHeight w:val="234"/>
        </w:trPr>
        <w:tc>
          <w:tcPr>
            <w:tcW w:w="8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21,807</w:t>
            </w:r>
          </w:p>
        </w:tc>
        <w:tc>
          <w:tcPr>
            <w:tcW w:w="0" w:type="dxa"/>
            <w:vAlign w:val="bottom"/>
          </w:tcPr>
          <w:p>
            <w:pPr>
              <w:spacing w:after="0"/>
              <w:rPr>
                <w:sz w:val="1"/>
                <w:szCs w:val="1"/>
                <w:color w:val="auto"/>
              </w:rPr>
            </w:pPr>
          </w:p>
        </w:tc>
      </w:tr>
      <w:tr>
        <w:trPr>
          <w:trHeight w:val="36"/>
        </w:trPr>
        <w:tc>
          <w:tcPr>
            <w:tcW w:w="80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147,647</w:t>
            </w:r>
          </w:p>
        </w:tc>
        <w:tc>
          <w:tcPr>
            <w:tcW w:w="0" w:type="dxa"/>
            <w:vAlign w:val="bottom"/>
          </w:tcPr>
          <w:p>
            <w:pPr>
              <w:spacing w:after="0"/>
              <w:rPr>
                <w:sz w:val="1"/>
                <w:szCs w:val="1"/>
                <w:color w:val="auto"/>
              </w:rPr>
            </w:pP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131,602</w:t>
            </w:r>
          </w:p>
        </w:tc>
        <w:tc>
          <w:tcPr>
            <w:tcW w:w="0" w:type="dxa"/>
            <w:vAlign w:val="bottom"/>
          </w:tcPr>
          <w:p>
            <w:pPr>
              <w:spacing w:after="0"/>
              <w:rPr>
                <w:sz w:val="1"/>
                <w:szCs w:val="1"/>
                <w:color w:val="auto"/>
              </w:rPr>
            </w:pPr>
          </w:p>
        </w:tc>
      </w:tr>
      <w:tr>
        <w:trPr>
          <w:trHeight w:val="36"/>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under tax receivables agreement,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124,212</w:t>
            </w:r>
          </w:p>
        </w:tc>
        <w:tc>
          <w:tcPr>
            <w:tcW w:w="0" w:type="dxa"/>
            <w:vAlign w:val="bottom"/>
          </w:tcPr>
          <w:p>
            <w:pPr>
              <w:spacing w:after="0"/>
              <w:rPr>
                <w:sz w:val="1"/>
                <w:szCs w:val="1"/>
                <w:color w:val="auto"/>
              </w:rPr>
            </w:pP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9,564</w:t>
            </w:r>
          </w:p>
        </w:tc>
        <w:tc>
          <w:tcPr>
            <w:tcW w:w="0" w:type="dxa"/>
            <w:vAlign w:val="bottom"/>
          </w:tcPr>
          <w:p>
            <w:pPr>
              <w:spacing w:after="0"/>
              <w:rPr>
                <w:sz w:val="1"/>
                <w:szCs w:val="1"/>
                <w:color w:val="auto"/>
              </w:rPr>
            </w:pPr>
          </w:p>
        </w:tc>
      </w:tr>
      <w:tr>
        <w:trPr>
          <w:trHeight w:val="36"/>
        </w:trPr>
        <w:tc>
          <w:tcPr>
            <w:tcW w:w="80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8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352,468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413,025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A common stock, $0.01 par value - 1.0 billion shares authorized; 52.7 million and 56.2 million shares issued</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and outstanding as of September 30, 2026 and December 31, 2025, respectively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0" w:type="dxa"/>
            <w:vAlign w:val="bottom"/>
          </w:tcPr>
          <w:p>
            <w:pPr>
              <w:spacing w:after="0"/>
              <w:rPr>
                <w:sz w:val="1"/>
                <w:szCs w:val="1"/>
                <w:color w:val="auto"/>
              </w:rPr>
            </w:pPr>
          </w:p>
        </w:tc>
      </w:tr>
      <w:tr>
        <w:trPr>
          <w:trHeight w:val="36"/>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Class B common stock, $0.01 par value - 100 million shares authorized; 8.3 million and 8.3 million shares issued and</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outstanding as of September 30, 2026 and December 31, 2025,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29"/>
        </w:trPr>
        <w:tc>
          <w:tcPr>
            <w:tcW w:w="8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$0.01 par value - 50 million shares authorized; 0 shares issued and outstanding as of September 30,</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2026 and December 31, 2025</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483,825</w:t>
            </w:r>
          </w:p>
        </w:tc>
        <w:tc>
          <w:tcPr>
            <w:tcW w:w="0" w:type="dxa"/>
            <w:vAlign w:val="bottom"/>
          </w:tcPr>
          <w:p>
            <w:pPr>
              <w:spacing w:after="0"/>
              <w:rPr>
                <w:sz w:val="1"/>
                <w:szCs w:val="1"/>
                <w:color w:val="auto"/>
              </w:rPr>
            </w:pPr>
          </w:p>
        </w:tc>
      </w:tr>
      <w:tr>
        <w:trPr>
          <w:trHeight w:val="234"/>
        </w:trPr>
        <w:tc>
          <w:tcPr>
            <w:tcW w:w="8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(480,310)</w:t>
            </w:r>
          </w:p>
        </w:tc>
        <w:tc>
          <w:tcPr>
            <w:tcW w:w="0" w:type="dxa"/>
            <w:vAlign w:val="bottom"/>
          </w:tcPr>
          <w:p>
            <w:pPr>
              <w:spacing w:after="0"/>
              <w:rPr>
                <w:sz w:val="1"/>
                <w:szCs w:val="1"/>
                <w:color w:val="auto"/>
              </w:rPr>
            </w:pPr>
          </w:p>
        </w:tc>
      </w:tr>
      <w:tr>
        <w:trPr>
          <w:trHeight w:val="36"/>
        </w:trPr>
        <w:tc>
          <w:tcPr>
            <w:tcW w:w="80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 attributable to MediaAlpha, Inc.</w:t>
            </w: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w:t>
            </w:r>
          </w:p>
        </w:tc>
        <w:tc>
          <w:tcPr>
            <w:tcW w:w="0" w:type="dxa"/>
            <w:vAlign w:val="bottom"/>
          </w:tcPr>
          <w:p>
            <w:pPr>
              <w:spacing w:after="0"/>
              <w:rPr>
                <w:sz w:val="1"/>
                <w:szCs w:val="1"/>
                <w:color w:val="auto"/>
              </w:rPr>
            </w:pP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(33,354)</w:t>
            </w:r>
          </w:p>
        </w:tc>
        <w:tc>
          <w:tcPr>
            <w:tcW w:w="0" w:type="dxa"/>
            <w:vAlign w:val="bottom"/>
          </w:tcPr>
          <w:p>
            <w:pPr>
              <w:spacing w:after="0"/>
              <w:rPr>
                <w:sz w:val="1"/>
                <w:szCs w:val="1"/>
                <w:color w:val="auto"/>
              </w:rPr>
            </w:pPr>
          </w:p>
        </w:tc>
      </w:tr>
      <w:tr>
        <w:trPr>
          <w:trHeight w:val="36"/>
        </w:trPr>
        <w:tc>
          <w:tcPr>
            <w:tcW w:w="80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(29,194)</w:t>
            </w:r>
          </w:p>
        </w:tc>
        <w:tc>
          <w:tcPr>
            <w:tcW w:w="0" w:type="dxa"/>
            <w:vAlign w:val="bottom"/>
          </w:tcPr>
          <w:p>
            <w:pPr>
              <w:spacing w:after="0"/>
              <w:rPr>
                <w:sz w:val="1"/>
                <w:szCs w:val="1"/>
                <w:color w:val="auto"/>
              </w:rPr>
            </w:pPr>
          </w:p>
        </w:tc>
      </w:tr>
      <w:tr>
        <w:trPr>
          <w:trHeight w:val="227"/>
        </w:trPr>
        <w:tc>
          <w:tcPr>
            <w:tcW w:w="800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 (deficit)</w:t>
            </w:r>
          </w:p>
        </w:tc>
        <w:tc>
          <w:tcPr>
            <w:tcW w:w="2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372,225</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383,831</w:t>
            </w:r>
          </w:p>
        </w:tc>
        <w:tc>
          <w:tcPr>
            <w:tcW w:w="0" w:type="dxa"/>
            <w:vAlign w:val="bottom"/>
          </w:tcPr>
          <w:p>
            <w:pPr>
              <w:spacing w:after="0"/>
              <w:rPr>
                <w:sz w:val="1"/>
                <w:szCs w:val="1"/>
                <w:color w:val="auto"/>
              </w:rPr>
            </w:pPr>
          </w:p>
        </w:tc>
      </w:tr>
      <w:tr>
        <w:trPr>
          <w:trHeight w:val="36"/>
        </w:trPr>
        <w:tc>
          <w:tcPr>
            <w:tcW w:w="80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39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MediaAlpha,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 in thousands, except share data and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ind w:left="620"/>
              <w:spacing w:after="0"/>
              <w:rPr>
                <w:sz w:val="20"/>
                <w:szCs w:val="20"/>
                <w:color w:val="auto"/>
              </w:rPr>
            </w:pPr>
            <w:r>
              <w:rPr>
                <w:rFonts w:ascii="Times New Roman" w:cs="Times New Roman" w:eastAsia="Times New Roman" w:hAnsi="Times New Roman"/>
                <w:sz w:val="15"/>
                <w:szCs w:val="15"/>
                <w:b w:val="1"/>
                <w:bCs w:val="1"/>
                <w:color w:val="auto"/>
                <w:w w:val="98"/>
              </w:rPr>
              <w:t>Nine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gridSpan w:val="3"/>
          </w:tcPr>
          <w:p>
            <w:pPr>
              <w:jc w:val="right"/>
              <w:ind w:right="138"/>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3"/>
          </w:tcPr>
          <w:p>
            <w:pPr>
              <w:jc w:val="right"/>
              <w:ind w:right="118"/>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6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jc w:val="right"/>
              <w:ind w:right="539"/>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42"/>
        </w:trPr>
        <w:tc>
          <w:tcPr>
            <w:tcW w:w="46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375,946</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1,002,825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822,445</w:t>
            </w: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320,618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855,624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699,713</w:t>
            </w: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16,078</w:t>
            </w:r>
          </w:p>
        </w:tc>
        <w:tc>
          <w:tcPr>
            <w:tcW w:w="0" w:type="dxa"/>
            <w:vAlign w:val="bottom"/>
          </w:tcPr>
          <w:p>
            <w:pPr>
              <w:spacing w:after="0"/>
              <w:rPr>
                <w:sz w:val="1"/>
                <w:szCs w:val="1"/>
                <w:color w:val="auto"/>
              </w:rPr>
            </w:pPr>
          </w:p>
        </w:tc>
      </w:tr>
      <w:tr>
        <w:trPr>
          <w:trHeight w:val="36"/>
        </w:trPr>
        <w:tc>
          <w:tcPr>
            <w:tcW w:w="4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16,068</w:t>
            </w: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77,363</w:t>
            </w:r>
          </w:p>
        </w:tc>
        <w:tc>
          <w:tcPr>
            <w:tcW w:w="0" w:type="dxa"/>
            <w:vAlign w:val="bottom"/>
          </w:tcPr>
          <w:p>
            <w:pPr>
              <w:spacing w:after="0"/>
              <w:rPr>
                <w:sz w:val="1"/>
                <w:szCs w:val="1"/>
                <w:color w:val="auto"/>
              </w:rPr>
            </w:pPr>
          </w:p>
        </w:tc>
      </w:tr>
      <w:tr>
        <w:trPr>
          <w:trHeight w:val="36"/>
        </w:trPr>
        <w:tc>
          <w:tcPr>
            <w:tcW w:w="4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 of intangible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13,416</w:t>
            </w:r>
          </w:p>
        </w:tc>
        <w:tc>
          <w:tcPr>
            <w:tcW w:w="0" w:type="dxa"/>
            <w:vAlign w:val="bottom"/>
          </w:tcPr>
          <w:p>
            <w:pPr>
              <w:spacing w:after="0"/>
              <w:rPr>
                <w:sz w:val="1"/>
                <w:szCs w:val="1"/>
                <w:color w:val="auto"/>
              </w:rPr>
            </w:pPr>
          </w:p>
        </w:tc>
      </w:tr>
      <w:tr>
        <w:trPr>
          <w:trHeight w:val="227"/>
        </w:trPr>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347,112</w:t>
            </w: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286,781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931,655</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822,638</w:t>
            </w:r>
          </w:p>
        </w:tc>
        <w:tc>
          <w:tcPr>
            <w:tcW w:w="0" w:type="dxa"/>
            <w:vAlign w:val="bottom"/>
          </w:tcPr>
          <w:p>
            <w:pPr>
              <w:spacing w:after="0"/>
              <w:rPr>
                <w:sz w:val="1"/>
                <w:szCs w:val="1"/>
                <w:color w:val="auto"/>
              </w:rPr>
            </w:pPr>
          </w:p>
        </w:tc>
      </w:tr>
      <w:tr>
        <w:trPr>
          <w:trHeight w:val="36"/>
        </w:trPr>
        <w:tc>
          <w:tcPr>
            <w:tcW w:w="4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71,170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(49,611)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0" w:type="dxa"/>
            <w:vAlign w:val="bottom"/>
          </w:tcPr>
          <w:p>
            <w:pPr>
              <w:spacing w:after="0"/>
              <w:rPr>
                <w:sz w:val="1"/>
                <w:szCs w:val="1"/>
                <w:color w:val="auto"/>
              </w:rPr>
            </w:pPr>
          </w:p>
        </w:tc>
      </w:tr>
      <w:tr>
        <w:trPr>
          <w:trHeight w:val="36"/>
        </w:trPr>
        <w:tc>
          <w:tcPr>
            <w:tcW w:w="4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8,633</w:t>
            </w:r>
          </w:p>
        </w:tc>
        <w:tc>
          <w:tcPr>
            <w:tcW w:w="0" w:type="dxa"/>
            <w:vAlign w:val="bottom"/>
          </w:tcPr>
          <w:p>
            <w:pPr>
              <w:spacing w:after="0"/>
              <w:rPr>
                <w:sz w:val="1"/>
                <w:szCs w:val="1"/>
                <w:color w:val="auto"/>
              </w:rPr>
            </w:pPr>
          </w:p>
        </w:tc>
      </w:tr>
      <w:tr>
        <w:trPr>
          <w:trHeight w:val="227"/>
        </w:trPr>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(8,333)</w:t>
            </w: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(41,636)</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6,710</w:t>
            </w:r>
          </w:p>
        </w:tc>
        <w:tc>
          <w:tcPr>
            <w:tcW w:w="0" w:type="dxa"/>
            <w:vAlign w:val="bottom"/>
          </w:tcPr>
          <w:p>
            <w:pPr>
              <w:spacing w:after="0"/>
              <w:rPr>
                <w:sz w:val="1"/>
                <w:szCs w:val="1"/>
                <w:color w:val="auto"/>
              </w:rPr>
            </w:pPr>
          </w:p>
        </w:tc>
      </w:tr>
      <w:tr>
        <w:trPr>
          <w:trHeight w:val="36"/>
        </w:trPr>
        <w:tc>
          <w:tcPr>
            <w:tcW w:w="46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112,806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(6,903)</w:t>
            </w: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36"/>
        </w:trPr>
        <w:tc>
          <w:tcPr>
            <w:tcW w:w="46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85,189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w:t>
            </w: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0" w:type="dxa"/>
            <w:vAlign w:val="bottom"/>
          </w:tcPr>
          <w:p>
            <w:pPr>
              <w:spacing w:after="0"/>
              <w:rPr>
                <w:sz w:val="1"/>
                <w:szCs w:val="1"/>
                <w:color w:val="auto"/>
              </w:rPr>
            </w:pPr>
          </w:p>
        </w:tc>
      </w:tr>
      <w:tr>
        <w:trPr>
          <w:trHeight w:val="36"/>
        </w:trPr>
        <w:tc>
          <w:tcPr>
            <w:tcW w:w="46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4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 attributable to MediaAlpha, Inc.</w:t>
            </w:r>
          </w:p>
        </w:tc>
        <w:tc>
          <w:tcPr>
            <w:tcW w:w="3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25,754</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76,659</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MediaAlpha, Inc. per share of Class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6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 common stock</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34"/>
        </w:trPr>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20" w:type="dxa"/>
            <w:vAlign w:val="bottom"/>
          </w:tcPr>
          <w:p>
            <w:pPr>
              <w:spacing w:after="0"/>
              <w:rPr>
                <w:sz w:val="20"/>
                <w:szCs w:val="20"/>
                <w:color w:val="auto"/>
              </w:rPr>
            </w:pPr>
          </w:p>
        </w:tc>
        <w:tc>
          <w:tcPr>
            <w:tcW w:w="62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20"/>
                <w:szCs w:val="20"/>
                <w:color w:val="auto"/>
              </w:rPr>
            </w:pP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20"/>
                <w:szCs w:val="20"/>
                <w:color w:val="auto"/>
              </w:rPr>
            </w:pPr>
          </w:p>
        </w:tc>
        <w:tc>
          <w:tcPr>
            <w:tcW w:w="60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36"/>
        </w:trPr>
        <w:tc>
          <w:tcPr>
            <w:tcW w:w="4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of Class A common stock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53,085,522</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56,617,837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54,216,410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56,134,035</w:t>
            </w:r>
          </w:p>
        </w:tc>
        <w:tc>
          <w:tcPr>
            <w:tcW w:w="0" w:type="dxa"/>
            <w:vAlign w:val="bottom"/>
          </w:tcPr>
          <w:p>
            <w:pPr>
              <w:spacing w:after="0"/>
              <w:rPr>
                <w:sz w:val="1"/>
                <w:szCs w:val="1"/>
                <w:color w:val="auto"/>
              </w:rPr>
            </w:pPr>
          </w:p>
        </w:tc>
      </w:tr>
      <w:tr>
        <w:trPr>
          <w:trHeight w:val="36"/>
        </w:trPr>
        <w:tc>
          <w:tcPr>
            <w:tcW w:w="4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62,830,870</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56,617,837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62,540,630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67,420,272</w:t>
            </w:r>
          </w:p>
        </w:tc>
        <w:tc>
          <w:tcPr>
            <w:tcW w:w="0" w:type="dxa"/>
            <w:vAlign w:val="bottom"/>
          </w:tcPr>
          <w:p>
            <w:pPr>
              <w:spacing w:after="0"/>
              <w:rPr>
                <w:sz w:val="1"/>
                <w:szCs w:val="1"/>
                <w:color w:val="auto"/>
              </w:rPr>
            </w:pPr>
          </w:p>
        </w:tc>
      </w:tr>
      <w:tr>
        <w:trPr>
          <w:trHeight w:val="36"/>
        </w:trPr>
        <w:tc>
          <w:tcPr>
            <w:tcW w:w="46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39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MediaAlpha,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 in thousands)</w:t>
      </w:r>
    </w:p>
    <w:p>
      <w:pPr>
        <w:spacing w:after="0" w:line="133"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24"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5076825</wp:posOffset>
            </wp:positionH>
            <wp:positionV relativeFrom="paragraph">
              <wp:posOffset>40005</wp:posOffset>
            </wp:positionV>
            <wp:extent cx="20669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66925" cy="762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46"/>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42"/>
        </w:trPr>
        <w:tc>
          <w:tcPr>
            <w:tcW w:w="80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04"/>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940" w:type="dxa"/>
            <w:vAlign w:val="bottom"/>
          </w:tcPr>
          <w:p>
            <w:pPr>
              <w:jc w:val="right"/>
              <w:ind w:right="786"/>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85,189</w:t>
            </w:r>
          </w:p>
        </w:tc>
        <w:tc>
          <w:tcPr>
            <w:tcW w:w="120" w:type="dxa"/>
            <w:vAlign w:val="bottom"/>
          </w:tcPr>
          <w:p>
            <w:pPr>
              <w:spacing w:after="0"/>
              <w:rPr>
                <w:sz w:val="17"/>
                <w:szCs w:val="17"/>
                <w:color w:val="auto"/>
              </w:rPr>
            </w:pPr>
          </w:p>
        </w:tc>
        <w:tc>
          <w:tcPr>
            <w:tcW w:w="36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(7,224)</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operating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04"/>
        </w:trPr>
        <w:tc>
          <w:tcPr>
            <w:tcW w:w="8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23,854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22,798</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Non-cash lease expense</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w:t>
            </w:r>
          </w:p>
        </w:tc>
      </w:tr>
      <w:tr>
        <w:trPr>
          <w:trHeight w:val="204"/>
        </w:trPr>
        <w:tc>
          <w:tcPr>
            <w:tcW w:w="8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Depreciation expense on property and equipment</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2,467</w:t>
            </w:r>
          </w:p>
        </w:tc>
      </w:tr>
      <w:tr>
        <w:trPr>
          <w:trHeight w:val="204"/>
        </w:trPr>
        <w:tc>
          <w:tcPr>
            <w:tcW w:w="8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Amortization of deferred debt issuance costs</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4"/>
        </w:trPr>
        <w:tc>
          <w:tcPr>
            <w:tcW w:w="8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Gain on repurchase of interests in tax receivables agreement</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(48,384)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Write-off of intangible assets</w:t>
            </w:r>
          </w:p>
        </w:tc>
        <w:tc>
          <w:tcPr>
            <w:tcW w:w="9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13,416</w:t>
            </w:r>
          </w:p>
        </w:tc>
      </w:tr>
      <w:tr>
        <w:trPr>
          <w:trHeight w:val="204"/>
        </w:trPr>
        <w:tc>
          <w:tcPr>
            <w:tcW w:w="8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Credit losses</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Deferred taxes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26,911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4"/>
        </w:trPr>
        <w:tc>
          <w:tcPr>
            <w:tcW w:w="8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Tax receivables agreement</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04"/>
        </w:trPr>
        <w:tc>
          <w:tcPr>
            <w:tcW w:w="80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Accounts receivable</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(44,173)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13,774</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w:t>
            </w:r>
          </w:p>
        </w:tc>
      </w:tr>
      <w:tr>
        <w:trPr>
          <w:trHeight w:val="204"/>
        </w:trPr>
        <w:tc>
          <w:tcPr>
            <w:tcW w:w="80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Other assets</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(4,039)</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Accounts payable</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30,624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(2,882)</w:t>
            </w:r>
          </w:p>
        </w:tc>
      </w:tr>
      <w:tr>
        <w:trPr>
          <w:trHeight w:val="204"/>
        </w:trPr>
        <w:tc>
          <w:tcPr>
            <w:tcW w:w="80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Accrued expenses</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(13,444)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33,804</w:t>
            </w:r>
          </w:p>
        </w:tc>
      </w:tr>
      <w:tr>
        <w:trPr>
          <w:trHeight w:val="42"/>
        </w:trPr>
        <w:tc>
          <w:tcPr>
            <w:tcW w:w="80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8"/>
        </w:trPr>
        <w:tc>
          <w:tcPr>
            <w:tcW w:w="80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940" w:type="dxa"/>
            <w:vAlign w:val="bottom"/>
            <w:tcBorders>
              <w:bottom w:val="single" w:sz="8" w:color="CCEEFF"/>
            </w:tcBorders>
            <w:shd w:val="clear" w:color="auto" w:fill="CCEEFF"/>
          </w:tcPr>
          <w:p>
            <w:pPr>
              <w:jc w:val="right"/>
              <w:ind w:right="786"/>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62,635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73,046</w:t>
            </w:r>
          </w:p>
        </w:tc>
      </w:tr>
      <w:tr>
        <w:trPr>
          <w:trHeight w:val="184"/>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9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6"/>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r>
      <w:tr>
        <w:trPr>
          <w:trHeight w:val="196"/>
        </w:trPr>
        <w:tc>
          <w:tcPr>
            <w:tcW w:w="80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940" w:type="dxa"/>
            <w:vAlign w:val="bottom"/>
            <w:tcBorders>
              <w:top w:val="single" w:sz="8" w:color="auto"/>
            </w:tcBorders>
          </w:tcPr>
          <w:p>
            <w:pPr>
              <w:jc w:val="right"/>
              <w:ind w:right="786"/>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(944)</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206"/>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w:t>
            </w:r>
          </w:p>
        </w:tc>
      </w:tr>
      <w:tr>
        <w:trPr>
          <w:trHeight w:val="42"/>
        </w:trPr>
        <w:tc>
          <w:tcPr>
            <w:tcW w:w="80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04"/>
        </w:trPr>
        <w:tc>
          <w:tcPr>
            <w:tcW w:w="8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revolving line of credit</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Repayments on revolving line of credit</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4"/>
        </w:trPr>
        <w:tc>
          <w:tcPr>
            <w:tcW w:w="8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issuance of long-term debt</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Repayments on long-term debt</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(152,703)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(7,125)</w:t>
            </w:r>
          </w:p>
        </w:tc>
      </w:tr>
      <w:tr>
        <w:trPr>
          <w:trHeight w:val="204"/>
        </w:trPr>
        <w:tc>
          <w:tcPr>
            <w:tcW w:w="8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Payments of debt issuance costs</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Repurchases of Class A common stock</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(50,095)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(32,893)</w:t>
            </w:r>
          </w:p>
        </w:tc>
      </w:tr>
      <w:tr>
        <w:trPr>
          <w:trHeight w:val="204"/>
        </w:trPr>
        <w:tc>
          <w:tcPr>
            <w:tcW w:w="8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Contributions from QLH’s members</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w:t>
            </w:r>
          </w:p>
        </w:tc>
      </w:tr>
      <w:tr>
        <w:trPr>
          <w:trHeight w:val="204"/>
        </w:trPr>
        <w:tc>
          <w:tcPr>
            <w:tcW w:w="8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Payments pursuant to tax receivables agreement</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6"/>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Repurchase of interests in tax receivables agreement</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(43,000)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4"/>
        </w:trPr>
        <w:tc>
          <w:tcPr>
            <w:tcW w:w="8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Shares withheld for taxes on vesting of restricted stock units</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(2,961)</w:t>
            </w:r>
          </w:p>
        </w:tc>
      </w:tr>
      <w:tr>
        <w:trPr>
          <w:trHeight w:val="42"/>
        </w:trPr>
        <w:tc>
          <w:tcPr>
            <w:tcW w:w="80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8"/>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940" w:type="dxa"/>
            <w:vAlign w:val="bottom"/>
            <w:tcBorders>
              <w:bottom w:val="single" w:sz="8" w:color="CCEEFF"/>
            </w:tcBorders>
            <w:shd w:val="clear" w:color="auto" w:fill="CCEEFF"/>
          </w:tcPr>
          <w:p>
            <w:pPr>
              <w:jc w:val="right"/>
              <w:ind w:right="786"/>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(89,890)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(43,671)</w:t>
            </w:r>
          </w:p>
        </w:tc>
      </w:tr>
      <w:tr>
        <w:trPr>
          <w:trHeight w:val="196"/>
        </w:trPr>
        <w:tc>
          <w:tcPr>
            <w:tcW w:w="80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Net (decrease) increase in cash and cash equivalents and restricted cash</w:t>
            </w: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(28,199)</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29,075</w:t>
            </w:r>
          </w:p>
        </w:tc>
      </w:tr>
      <w:tr>
        <w:trPr>
          <w:trHeight w:val="42"/>
        </w:trPr>
        <w:tc>
          <w:tcPr>
            <w:tcW w:w="8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and restricted cash, beginning of period</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43,266</w:t>
            </w:r>
          </w:p>
        </w:tc>
      </w:tr>
      <w:tr>
        <w:trPr>
          <w:trHeight w:val="196"/>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and restricted cash, end of period</w:t>
            </w:r>
          </w:p>
        </w:tc>
        <w:tc>
          <w:tcPr>
            <w:tcW w:w="940" w:type="dxa"/>
            <w:vAlign w:val="bottom"/>
            <w:tcBorders>
              <w:top w:val="single" w:sz="8" w:color="auto"/>
            </w:tcBorders>
          </w:tcPr>
          <w:p>
            <w:pPr>
              <w:jc w:val="right"/>
              <w:ind w:right="786"/>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18,677</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206"/>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72,341</w:t>
            </w:r>
          </w:p>
        </w:tc>
      </w:tr>
      <w:tr>
        <w:trPr>
          <w:trHeight w:val="42"/>
        </w:trPr>
        <w:tc>
          <w:tcPr>
            <w:tcW w:w="80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3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Key business and operating metrics and Non-GAAP financial measures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Contribution and Contribution Margin</w:t>
      </w:r>
    </w:p>
    <w:p>
      <w:pPr>
        <w:spacing w:after="0" w:line="127"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We define “Contribution” as revenue less revenue share payments and online advertising costs, or, as reported in our consolidated statements of operations, revenue less cost of revenue (i.e., gross profit), as adjusted to exclude the following items from cost of revenue: equity-based compensation; salaries, wages, and related costs; internet and hosting costs; amortization; depreciation; other services; and merchant-related fees. We define “Contribution Margin” as Contribution expressed as a percentage of revenue for the same period. Contribution and Contribution Margin are non-GAAP financial measures that we present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increases and our headcount costs and other operating expenses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spacing w:after="0" w:line="367" w:lineRule="exact"/>
        <w:rPr>
          <w:sz w:val="20"/>
          <w:szCs w:val="20"/>
          <w:color w:val="auto"/>
        </w:rPr>
      </w:pPr>
    </w:p>
    <w:p>
      <w:pPr>
        <w:ind w:right="40" w:firstLine="590"/>
        <w:spacing w:after="0" w:line="295" w:lineRule="auto"/>
        <w:rPr>
          <w:sz w:val="20"/>
          <w:szCs w:val="20"/>
          <w:color w:val="auto"/>
        </w:rPr>
      </w:pPr>
      <w:r>
        <w:rPr>
          <w:rFonts w:ascii="Times New Roman" w:cs="Times New Roman" w:eastAsia="Times New Roman" w:hAnsi="Times New Roman"/>
          <w:sz w:val="16"/>
          <w:szCs w:val="16"/>
          <w:color w:val="auto"/>
        </w:rPr>
        <w:t>The following table reconciles Contribution with gross profit, the most directly comparable financial measure calculated and presented in accordance with GAAP, for the three and nine months ended September 30, 2026 and 2025: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3"/>
          </w:tcPr>
          <w:p>
            <w:pPr>
              <w:jc w:val="right"/>
              <w:ind w:right="158"/>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ind w:right="138"/>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vMerge w:val="restart"/>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26"/>
        </w:trPr>
        <w:tc>
          <w:tcPr>
            <w:tcW w:w="4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tcBorders>
              <w:bottom w:val="single" w:sz="8" w:color="CFF0FC"/>
            </w:tcBorders>
            <w:shd w:val="clear" w:color="auto" w:fill="CFF0FC"/>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375,946</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ind w:right="45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306,514</w:t>
            </w: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1,002,825</w:t>
            </w:r>
          </w:p>
        </w:tc>
        <w:tc>
          <w:tcPr>
            <w:tcW w:w="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822,445</w:t>
            </w:r>
          </w:p>
        </w:tc>
        <w:tc>
          <w:tcPr>
            <w:tcW w:w="0" w:type="dxa"/>
            <w:vAlign w:val="bottom"/>
          </w:tcPr>
          <w:p>
            <w:pPr>
              <w:spacing w:after="0"/>
              <w:rPr>
                <w:sz w:val="1"/>
                <w:szCs w:val="1"/>
                <w:color w:val="auto"/>
              </w:rPr>
            </w:pPr>
          </w:p>
        </w:tc>
      </w:tr>
      <w:tr>
        <w:trPr>
          <w:trHeight w:val="222"/>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cost of revenue</w:t>
            </w:r>
          </w:p>
        </w:tc>
        <w:tc>
          <w:tcPr>
            <w:tcW w:w="380" w:type="dxa"/>
            <w:vAlign w:val="bottom"/>
          </w:tcPr>
          <w:p>
            <w:pPr>
              <w:spacing w:after="0"/>
              <w:rPr>
                <w:sz w:val="19"/>
                <w:szCs w:val="19"/>
                <w:color w:val="auto"/>
              </w:rPr>
            </w:pP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(320,618)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(263,108)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(855,624)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(699,713)</w:t>
            </w:r>
          </w:p>
        </w:tc>
        <w:tc>
          <w:tcPr>
            <w:tcW w:w="0" w:type="dxa"/>
            <w:vAlign w:val="bottom"/>
          </w:tcPr>
          <w:p>
            <w:pPr>
              <w:spacing w:after="0"/>
              <w:rPr>
                <w:sz w:val="1"/>
                <w:szCs w:val="1"/>
                <w:color w:val="auto"/>
              </w:rPr>
            </w:pPr>
          </w:p>
        </w:tc>
      </w:tr>
      <w:tr>
        <w:trPr>
          <w:trHeight w:val="24"/>
        </w:trPr>
        <w:tc>
          <w:tcPr>
            <w:tcW w:w="43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55,328</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43,406</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147,201</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122,732</w:t>
            </w:r>
          </w:p>
        </w:tc>
        <w:tc>
          <w:tcPr>
            <w:tcW w:w="0" w:type="dxa"/>
            <w:vAlign w:val="bottom"/>
          </w:tcPr>
          <w:p>
            <w:pPr>
              <w:spacing w:after="0"/>
              <w:rPr>
                <w:sz w:val="1"/>
                <w:szCs w:val="1"/>
                <w:color w:val="auto"/>
              </w:rPr>
            </w:pPr>
          </w:p>
        </w:tc>
      </w:tr>
      <w:tr>
        <w:trPr>
          <w:trHeight w:val="24"/>
        </w:trPr>
        <w:tc>
          <w:tcPr>
            <w:tcW w:w="43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Adjusted to exclude the following (as related to cost of revenue):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5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rPr>
              <w:t>836</w:t>
            </w:r>
          </w:p>
        </w:tc>
      </w:tr>
      <w:tr>
        <w:trPr>
          <w:trHeight w:val="222"/>
        </w:trPr>
        <w:tc>
          <w:tcPr>
            <w:tcW w:w="4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Salaries, wages, and related</w:t>
            </w:r>
          </w:p>
        </w:tc>
        <w:tc>
          <w:tcPr>
            <w:tcW w:w="540" w:type="dxa"/>
            <w:vAlign w:val="bottom"/>
          </w:tcPr>
          <w:p>
            <w:pPr>
              <w:spacing w:after="0"/>
              <w:rPr>
                <w:sz w:val="19"/>
                <w:szCs w:val="19"/>
                <w:color w:val="auto"/>
              </w:rPr>
            </w:pPr>
          </w:p>
        </w:tc>
        <w:tc>
          <w:tcPr>
            <w:tcW w:w="10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2,308</w:t>
            </w:r>
          </w:p>
        </w:tc>
      </w:tr>
      <w:tr>
        <w:trPr>
          <w:trHeight w:val="24"/>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4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Internet and hosting</w:t>
            </w:r>
          </w:p>
        </w:tc>
        <w:tc>
          <w:tcPr>
            <w:tcW w:w="5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rPr>
              <w:t>570</w:t>
            </w:r>
          </w:p>
        </w:tc>
      </w:tr>
      <w:tr>
        <w:trPr>
          <w:trHeight w:val="222"/>
        </w:trPr>
        <w:tc>
          <w:tcPr>
            <w:tcW w:w="4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expenses</w:t>
            </w:r>
          </w:p>
        </w:tc>
        <w:tc>
          <w:tcPr>
            <w:tcW w:w="540" w:type="dxa"/>
            <w:vAlign w:val="bottom"/>
          </w:tcPr>
          <w:p>
            <w:pPr>
              <w:spacing w:after="0"/>
              <w:rPr>
                <w:sz w:val="19"/>
                <w:szCs w:val="19"/>
                <w:color w:val="auto"/>
              </w:rPr>
            </w:pPr>
          </w:p>
        </w:tc>
        <w:tc>
          <w:tcPr>
            <w:tcW w:w="10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580</w:t>
            </w:r>
          </w:p>
        </w:tc>
      </w:tr>
      <w:tr>
        <w:trPr>
          <w:trHeight w:val="24"/>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4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5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17</w:t>
            </w:r>
          </w:p>
        </w:tc>
      </w:tr>
      <w:tr>
        <w:trPr>
          <w:trHeight w:val="222"/>
        </w:trPr>
        <w:tc>
          <w:tcPr>
            <w:tcW w:w="4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services</w:t>
            </w:r>
          </w:p>
        </w:tc>
        <w:tc>
          <w:tcPr>
            <w:tcW w:w="540" w:type="dxa"/>
            <w:vAlign w:val="bottom"/>
          </w:tcPr>
          <w:p>
            <w:pPr>
              <w:spacing w:after="0"/>
              <w:rPr>
                <w:sz w:val="19"/>
                <w:szCs w:val="19"/>
                <w:color w:val="auto"/>
              </w:rPr>
            </w:pPr>
          </w:p>
        </w:tc>
        <w:tc>
          <w:tcPr>
            <w:tcW w:w="10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1,856</w:t>
            </w:r>
          </w:p>
        </w:tc>
      </w:tr>
      <w:tr>
        <w:trPr>
          <w:trHeight w:val="24"/>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4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Merchant-related fees</w:t>
            </w:r>
          </w:p>
        </w:tc>
        <w:tc>
          <w:tcPr>
            <w:tcW w:w="5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534</w:t>
            </w:r>
          </w:p>
        </w:tc>
      </w:tr>
      <w:tr>
        <w:trPr>
          <w:trHeight w:val="222"/>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w:t>
            </w: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57,404</w:t>
            </w:r>
          </w:p>
        </w:tc>
        <w:tc>
          <w:tcPr>
            <w:tcW w:w="120" w:type="dxa"/>
            <w:vAlign w:val="bottom"/>
          </w:tcPr>
          <w:p>
            <w:pPr>
              <w:spacing w:after="0"/>
              <w:rPr>
                <w:sz w:val="19"/>
                <w:szCs w:val="19"/>
                <w:color w:val="auto"/>
              </w:rPr>
            </w:pP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45,615</w:t>
            </w:r>
          </w:p>
        </w:tc>
        <w:tc>
          <w:tcPr>
            <w:tcW w:w="100" w:type="dxa"/>
            <w:vAlign w:val="bottom"/>
          </w:tcPr>
          <w:p>
            <w:pPr>
              <w:spacing w:after="0"/>
              <w:rPr>
                <w:sz w:val="19"/>
                <w:szCs w:val="19"/>
                <w:color w:val="auto"/>
              </w:rPr>
            </w:pPr>
          </w:p>
        </w:tc>
        <w:tc>
          <w:tcPr>
            <w:tcW w:w="50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153,226</w:t>
            </w:r>
          </w:p>
        </w:tc>
        <w:tc>
          <w:tcPr>
            <w:tcW w:w="100" w:type="dxa"/>
            <w:vAlign w:val="bottom"/>
          </w:tcPr>
          <w:p>
            <w:pPr>
              <w:spacing w:after="0"/>
              <w:rPr>
                <w:sz w:val="19"/>
                <w:szCs w:val="19"/>
                <w:color w:val="auto"/>
              </w:rPr>
            </w:pPr>
          </w:p>
        </w:tc>
        <w:tc>
          <w:tcPr>
            <w:tcW w:w="50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129,433</w:t>
            </w:r>
          </w:p>
        </w:tc>
      </w:tr>
      <w:tr>
        <w:trPr>
          <w:trHeight w:val="24"/>
        </w:trPr>
        <w:tc>
          <w:tcPr>
            <w:tcW w:w="44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Gross margin</w:t>
            </w:r>
          </w:p>
        </w:tc>
        <w:tc>
          <w:tcPr>
            <w:tcW w:w="5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r>
      <w:tr>
        <w:trPr>
          <w:trHeight w:val="222"/>
        </w:trPr>
        <w:tc>
          <w:tcPr>
            <w:tcW w:w="4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 Margin</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15.7 %</w:t>
            </w:r>
          </w:p>
        </w:tc>
      </w:tr>
      <w:tr>
        <w:trPr>
          <w:trHeight w:val="24"/>
        </w:trPr>
        <w:tc>
          <w:tcPr>
            <w:tcW w:w="44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298" w:right="339" w:bottom="1440" w:gutter="0" w:footer="0" w:header="0"/>
        </w:sectPr>
      </w:pPr>
    </w:p>
    <w:bookmarkStart w:id="12" w:name="page13"/>
    <w:bookmarkEnd w:id="12"/>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EBITDA</w:t>
      </w:r>
    </w:p>
    <w:p>
      <w:pPr>
        <w:spacing w:after="0" w:line="115"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We define “Adjusted EBITDA” as net income (loss) excluding interest expense, income tax expense (benefit), depreciation expense on property and equipment, amortization of intangible assets, as well as equity-based compensation expense and certain other adjustments as listed in the table below. Adjusted EBITDA is a non-GAAP financial measure that we present to supplement the financial information we present on a GAAP basis. We monitor and present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 the overall understanding of our past performance and future prospects. In addition, presenting Adjusted EBITDA provides investors with a metric to evaluate the capital efficiency of our business.</w:t>
      </w:r>
    </w:p>
    <w:p>
      <w:pPr>
        <w:spacing w:after="0" w:line="168"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accordance with GAAP. These limitations include the fact that Adjusted EBITDA excludes interest expense on debt, income tax expense (benefit), equity-based compensation expense, depreciation and amortization, and certain other adjustments that we consider to be useful to investors and others in understanding and evaluating our operating results. In addition, other companies may use other measures to evaluate their performance, including different definitions of “Adjusted EBITDA,” which could reduce the usefulness of our Adjusted EBITDA as a tool for comparison.</w:t>
      </w:r>
    </w:p>
    <w:p>
      <w:pPr>
        <w:spacing w:after="0" w:line="161" w:lineRule="exact"/>
        <w:rPr>
          <w:sz w:val="20"/>
          <w:szCs w:val="20"/>
          <w:color w:val="auto"/>
        </w:rPr>
      </w:pPr>
    </w:p>
    <w:p>
      <w:pPr>
        <w:ind w:right="100" w:firstLine="590"/>
        <w:spacing w:after="0" w:line="295" w:lineRule="auto"/>
        <w:rPr>
          <w:sz w:val="20"/>
          <w:szCs w:val="20"/>
          <w:color w:val="auto"/>
        </w:rPr>
      </w:pPr>
      <w:r>
        <w:rPr>
          <w:rFonts w:ascii="Times New Roman" w:cs="Times New Roman" w:eastAsia="Times New Roman" w:hAnsi="Times New Roman"/>
          <w:sz w:val="16"/>
          <w:szCs w:val="16"/>
          <w:color w:val="auto"/>
        </w:rPr>
        <w:t>The following table reconciles Adjusted EBITDA with net income (loss), the most directly comparable financial measure calculated and presented in accordance with GAAP, for the three and nine months ended September 30, 2026 and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940" w:type="dxa"/>
            <w:vAlign w:val="bottom"/>
          </w:tcPr>
          <w:p>
            <w:pPr>
              <w:spacing w:after="0"/>
              <w:rPr>
                <w:sz w:val="15"/>
                <w:szCs w:val="15"/>
                <w:color w:val="auto"/>
              </w:rPr>
            </w:pPr>
          </w:p>
        </w:tc>
      </w:tr>
      <w:tr>
        <w:trPr>
          <w:trHeight w:val="193"/>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ind w:right="158"/>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right"/>
              <w:ind w:right="118"/>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40" w:type="dxa"/>
            <w:vAlign w:val="bottom"/>
          </w:tcPr>
          <w:p>
            <w:pPr>
              <w:spacing w:after="0"/>
              <w:rPr>
                <w:sz w:val="16"/>
                <w:szCs w:val="16"/>
                <w:color w:val="auto"/>
              </w:rPr>
            </w:pPr>
          </w:p>
        </w:tc>
      </w:tr>
      <w:tr>
        <w:trPr>
          <w:trHeight w:val="30"/>
        </w:trPr>
        <w:tc>
          <w:tcPr>
            <w:tcW w:w="470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6"/>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5"/>
                <w:szCs w:val="15"/>
                <w:b w:val="1"/>
                <w:bCs w:val="1"/>
                <w:color w:val="auto"/>
                <w:w w:val="93"/>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5"/>
                <w:szCs w:val="15"/>
                <w:b w:val="1"/>
                <w:bCs w:val="1"/>
                <w:color w:val="auto"/>
                <w:w w:val="99"/>
              </w:rPr>
              <w:t>2025</w:t>
            </w:r>
          </w:p>
        </w:tc>
      </w:tr>
      <w:tr>
        <w:trPr>
          <w:trHeight w:val="226"/>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29,360</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85,189</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w:t>
            </w:r>
          </w:p>
        </w:tc>
      </w:tr>
      <w:tr>
        <w:trPr>
          <w:trHeight w:val="222"/>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22,798</w:t>
            </w:r>
          </w:p>
        </w:tc>
      </w:tr>
      <w:tr>
        <w:trPr>
          <w:trHeight w:val="24"/>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6"/>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8,633</w:t>
            </w:r>
          </w:p>
        </w:tc>
      </w:tr>
      <w:tr>
        <w:trPr>
          <w:trHeight w:val="222"/>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4"/>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6"/>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expense on property and equipment</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22"/>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w:t>
            </w:r>
          </w:p>
        </w:tc>
      </w:tr>
      <w:tr>
        <w:trPr>
          <w:trHeight w:val="24"/>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6"/>
        </w:trPr>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Transaction expenses</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46"/>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Personnel separation costs</w:t>
            </w:r>
            <w:r>
              <w:rPr>
                <w:rFonts w:ascii="Times New Roman" w:cs="Times New Roman" w:eastAsia="Times New Roman" w:hAnsi="Times New Roman"/>
                <w:sz w:val="21"/>
                <w:szCs w:val="21"/>
                <w:color w:val="auto"/>
                <w:vertAlign w:val="superscript"/>
              </w:rPr>
              <w:t>(2)</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Write-off of intangible assets</w:t>
            </w:r>
            <w:r>
              <w:rPr>
                <w:rFonts w:ascii="Times New Roman" w:cs="Times New Roman" w:eastAsia="Times New Roman" w:hAnsi="Times New Roman"/>
                <w:sz w:val="21"/>
                <w:szCs w:val="21"/>
                <w:color w:val="auto"/>
                <w:vertAlign w:val="superscript"/>
              </w:rPr>
              <w:t>(3)</w:t>
            </w: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13,416</w:t>
            </w:r>
          </w:p>
        </w:tc>
      </w:tr>
      <w:tr>
        <w:trPr>
          <w:trHeight w:val="222"/>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Gain on repurchase of interests in tax receivables agreement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(48,384)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6"/>
        </w:trPr>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Changes in TRA related liability</w:t>
            </w:r>
            <w:r>
              <w:rPr>
                <w:rFonts w:ascii="Times New Roman" w:cs="Times New Roman" w:eastAsia="Times New Roman" w:hAnsi="Times New Roman"/>
                <w:sz w:val="21"/>
                <w:szCs w:val="21"/>
                <w:color w:val="auto"/>
                <w:vertAlign w:val="superscript"/>
              </w:rPr>
              <w:t>(4)</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22"/>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Changes in Tax Indemnification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4"/>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6"/>
        </w:trPr>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Legal expenses</w:t>
            </w:r>
            <w:r>
              <w:rPr>
                <w:rFonts w:ascii="Times New Roman" w:cs="Times New Roman" w:eastAsia="Times New Roman" w:hAnsi="Times New Roman"/>
                <w:sz w:val="21"/>
                <w:szCs w:val="21"/>
                <w:color w:val="auto"/>
                <w:vertAlign w:val="superscript"/>
              </w:rPr>
              <w:t>(5)</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42,333</w:t>
            </w:r>
          </w:p>
        </w:tc>
      </w:tr>
      <w:tr>
        <w:trPr>
          <w:trHeight w:val="21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39,493</w:t>
            </w:r>
          </w:p>
        </w:tc>
        <w:tc>
          <w:tcPr>
            <w:tcW w:w="120" w:type="dxa"/>
            <w:vAlign w:val="bottom"/>
          </w:tcPr>
          <w:p>
            <w:pPr>
              <w:spacing w:after="0"/>
              <w:rPr>
                <w:sz w:val="18"/>
                <w:szCs w:val="18"/>
                <w:color w:val="auto"/>
              </w:rPr>
            </w:pPr>
          </w:p>
        </w:tc>
        <w:tc>
          <w:tcPr>
            <w:tcW w:w="62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29,079</w:t>
            </w:r>
          </w:p>
        </w:tc>
        <w:tc>
          <w:tcPr>
            <w:tcW w:w="100" w:type="dxa"/>
            <w:vAlign w:val="bottom"/>
          </w:tcPr>
          <w:p>
            <w:pPr>
              <w:spacing w:after="0"/>
              <w:rPr>
                <w:sz w:val="18"/>
                <w:szCs w:val="18"/>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100,122</w:t>
            </w:r>
          </w:p>
        </w:tc>
        <w:tc>
          <w:tcPr>
            <w:tcW w:w="80" w:type="dxa"/>
            <w:vAlign w:val="bottom"/>
          </w:tcPr>
          <w:p>
            <w:pPr>
              <w:spacing w:after="0"/>
              <w:rPr>
                <w:sz w:val="18"/>
                <w:szCs w:val="18"/>
                <w:color w:val="auto"/>
              </w:rPr>
            </w:pPr>
          </w:p>
        </w:tc>
        <w:tc>
          <w:tcPr>
            <w:tcW w:w="62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82,957</w:t>
            </w:r>
          </w:p>
        </w:tc>
      </w:tr>
      <w:tr>
        <w:trPr>
          <w:trHeight w:val="24"/>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78" w:lineRule="exact"/>
        <w:rPr>
          <w:sz w:val="20"/>
          <w:szCs w:val="20"/>
          <w:color w:val="auto"/>
        </w:rPr>
      </w:pPr>
    </w:p>
    <w:p>
      <w:pPr>
        <w:ind w:left="440" w:right="40" w:hanging="294"/>
        <w:spacing w:after="0" w:line="287" w:lineRule="auto"/>
        <w:tabs>
          <w:tab w:leader="none" w:pos="433"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Transaction expenses for the three months ended September 30, 2026 consist of legal and accounting fees incurred by us in connection with registration statements. Transaction expenses for the nine months ended September 30, 2026 consist of legal and other fees of $1.1 million and a loss on extinguishment of debt of $0.2 million incurred by us in connection with the 2026 Credit Facilities and legal and accounting fees incurred by us in connection with registration statements. Transaction expenses for the three and nine months ended September 30, 2025 consist of legal and accounting fees incurred in connection with an amendment to the 2021 Credit Facilities.</w:t>
      </w:r>
    </w:p>
    <w:p>
      <w:pPr>
        <w:sectPr>
          <w:pgSz w:w="11900" w:h="16838" w:orient="portrait"/>
          <w:cols w:equalWidth="0" w:num="1">
            <w:col w:w="11240"/>
          </w:cols>
          <w:pgMar w:left="320" w:top="1440" w:right="339" w:bottom="1440" w:gutter="0" w:footer="0" w:header="0"/>
        </w:sectPr>
      </w:pPr>
    </w:p>
    <w:bookmarkStart w:id="13" w:name="page14"/>
    <w:bookmarkEnd w:id="13"/>
    <w:p>
      <w:pPr>
        <w:ind w:left="294" w:right="260" w:hanging="294"/>
        <w:spacing w:after="0" w:line="276" w:lineRule="auto"/>
        <w:tabs>
          <w:tab w:leader="none" w:pos="287"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Personnel separation costs for the three and nine months ended September 30, 2026 consist of severance costs incurred as part of the transition of the Company's Chief Financial Officer, pursuant to his employment agreement.</w:t>
      </w:r>
    </w:p>
    <w:p>
      <w:pPr>
        <w:ind w:left="294" w:hanging="294"/>
        <w:spacing w:after="0" w:line="285" w:lineRule="auto"/>
        <w:tabs>
          <w:tab w:leader="none" w:pos="287"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Write-off of intangible assets for the nine months ended September 30, 2025 consists of a charge related to the write-off of customer relationships and trademarks, trade names, and domain names intangible assets acquired as part of the acquisition of Customer Helper Team, LLC.</w:t>
      </w:r>
    </w:p>
    <w:p>
      <w:pPr>
        <w:spacing w:after="0" w:line="1" w:lineRule="exact"/>
        <w:rPr>
          <w:rFonts w:ascii="Times New Roman" w:cs="Times New Roman" w:eastAsia="Times New Roman" w:hAnsi="Times New Roman"/>
          <w:sz w:val="13"/>
          <w:szCs w:val="13"/>
          <w:color w:val="auto"/>
        </w:rPr>
      </w:pPr>
    </w:p>
    <w:p>
      <w:pPr>
        <w:ind w:left="294" w:hanging="294"/>
        <w:spacing w:after="0"/>
        <w:tabs>
          <w:tab w:leader="none" w:pos="294"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TRA related liability consist of adjustments to the TRA liability to reflect probable future payments under the agreement.</w:t>
      </w:r>
    </w:p>
    <w:p>
      <w:pPr>
        <w:spacing w:after="0" w:line="22" w:lineRule="exact"/>
        <w:rPr>
          <w:rFonts w:ascii="Times New Roman" w:cs="Times New Roman" w:eastAsia="Times New Roman" w:hAnsi="Times New Roman"/>
          <w:sz w:val="13"/>
          <w:szCs w:val="13"/>
          <w:color w:val="auto"/>
        </w:rPr>
      </w:pPr>
    </w:p>
    <w:p>
      <w:pPr>
        <w:ind w:left="294" w:right="280" w:hanging="294"/>
        <w:spacing w:after="0" w:line="310" w:lineRule="auto"/>
        <w:tabs>
          <w:tab w:leader="none" w:pos="287"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Legal expenses for the three and nine months ended September 30, 2026 were immaterial. Legal expenses for the three and nine months ended September 30, 2025, consist of increases of $0 and $38.0 million, respectively, to the loss reserve established in connection with the FTC Matter and legal fees and costs incurred in connection with such matter.</w:t>
      </w:r>
    </w:p>
    <w:p>
      <w:pPr>
        <w:sectPr>
          <w:pgSz w:w="11900" w:h="16838" w:orient="portrait"/>
          <w:cols w:equalWidth="0" w:num="1">
            <w:col w:w="11054"/>
          </w:cols>
          <w:pgMar w:left="466" w:top="1311" w:right="379" w:bottom="1440" w:gutter="0" w:footer="0" w:header="0"/>
        </w:sectPr>
      </w:pPr>
    </w:p>
    <w:bookmarkStart w:id="14" w:name="page15"/>
    <w:bookmarkEnd w:id="14"/>
    <w:p>
      <w:pPr>
        <w:ind w:left="60"/>
        <w:spacing w:after="0"/>
        <w:tabs>
          <w:tab w:leader="none" w:pos="1160" w:val="left"/>
        </w:tabs>
        <w:rPr>
          <w:sz w:val="20"/>
          <w:szCs w:val="20"/>
          <w:color w:val="auto"/>
        </w:rPr>
      </w:pPr>
      <w:r>
        <w:rPr>
          <w:rFonts w:ascii="Times New Roman" w:cs="Times New Roman" w:eastAsia="Times New Roman" w:hAnsi="Times New Roman"/>
          <w:sz w:val="15"/>
          <w:szCs w:val="15"/>
          <w:b w:val="1"/>
          <w:bCs w:val="1"/>
          <w:color w:val="F04A22"/>
        </w:rPr>
        <w:drawing>
          <wp:anchor simplePos="0" relativeHeight="251657728" behindDoc="1" locked="0" layoutInCell="0" allowOverlap="1">
            <wp:simplePos x="0" y="0"/>
            <wp:positionH relativeFrom="page">
              <wp:posOffset>201930</wp:posOffset>
            </wp:positionH>
            <wp:positionV relativeFrom="page">
              <wp:posOffset>104775</wp:posOffset>
            </wp:positionV>
            <wp:extent cx="7144385" cy="62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62230"/>
                    </a:xfrm>
                    <a:prstGeom prst="rect">
                      <a:avLst/>
                    </a:prstGeom>
                    <a:noFill/>
                  </pic:spPr>
                </pic:pic>
              </a:graphicData>
            </a:graphic>
          </wp:anchor>
        </w:drawing>
        <w:t>MediaAlpha</w:t>
      </w:r>
      <w:r>
        <w:rPr>
          <w:sz w:val="20"/>
          <w:szCs w:val="20"/>
          <w:color w:val="auto"/>
        </w:rPr>
        <w:tab/>
      </w:r>
      <w:r>
        <w:rPr>
          <w:rFonts w:ascii="Times New Roman" w:cs="Times New Roman" w:eastAsia="Times New Roman" w:hAnsi="Times New Roman"/>
          <w:sz w:val="15"/>
          <w:szCs w:val="15"/>
          <w:color w:val="6B6B6B"/>
        </w:rPr>
        <w:t>Investor Supplement ·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71443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b w:val="1"/>
          <w:bCs w:val="1"/>
          <w:color w:val="auto"/>
        </w:rPr>
        <w:t>Investor Supplementary Financial Information</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accompanying financial information excludes all financial statement disclosures and other information required by generally accepted accounting principles in the United States of America (“GAAP”) and Securities and Exchange Commission (SEC) rules and regulations. However, MediaAlpha, Inc. (“MediaAlpha" or the "Company”) has previously filed, or has publicly disclosed and will file, with the SEC, consolidated financial statements for each of the periods presented that were prepared in accordance with GAAP and SEC rules and regulations. The accompanying financial information is derived from the books and records of MediaAlpha that were used to prepare those consolidated financial statements. Accordingly, the accompanying information should be read in conjunction with MediaAlpha's consolidated financial statements and related notes thereto filed with the SEC. We believe that quarter-to-quarter comparisons of results from operations, or any other similar period-to-period comparisons, should not be construed as reliable indicators of our future performance.</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accompanying financial information includes certain non-GAAP financial measures. Definitions of these non-GAAP financial measures, as well as reconciliations to the corresponding GAAP financial metrics, have been provided on the following pages. We present these supplemental non-GAAP financial measures because they are used extensively by our management and board of directors to manage our operating performance, including evaluating our operational performance against budget and assessing our overall operating efficiency and operating leverage. Accordingly, we believe that these non-GAAP financial measures provide useful information to investors and others in understanding and evaluating our operating results in the same manner as our management team and board of directors.</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These non-GAAP measures should not be considered as an alternative to net income, gross profit or any other financial measures so calculated and presented. Other companies (including our competitors) may define these non-GAAP measures differently. These non-GAAP measures may not be indicative of the historical operating results of MediaAlpha or predictive of potential future results. Investors should not consider this supplemental non-GAAP financial information in isolation or as a substitute for analysis of our results as reported in accordance with GAAP.</w:t>
      </w:r>
    </w:p>
    <w:p>
      <w:pPr>
        <w:spacing w:after="0" w:line="200" w:lineRule="exact"/>
        <w:rPr>
          <w:sz w:val="20"/>
          <w:szCs w:val="20"/>
          <w:color w:val="auto"/>
        </w:rPr>
      </w:pPr>
    </w:p>
    <w:p>
      <w:pPr>
        <w:spacing w:after="0" w:line="301" w:lineRule="exact"/>
        <w:rPr>
          <w:sz w:val="20"/>
          <w:szCs w:val="20"/>
          <w:color w:val="auto"/>
        </w:rPr>
      </w:pPr>
    </w:p>
    <w:p>
      <w:pPr>
        <w:ind w:left="10860"/>
        <w:spacing w:after="0"/>
        <w:rPr>
          <w:sz w:val="20"/>
          <w:szCs w:val="20"/>
          <w:color w:val="auto"/>
        </w:rPr>
      </w:pPr>
      <w:r>
        <w:rPr>
          <w:rFonts w:ascii="Arial" w:cs="Arial" w:eastAsia="Arial" w:hAnsi="Arial"/>
          <w:sz w:val="16"/>
          <w:szCs w:val="16"/>
          <w:color w:val="F36D4D"/>
        </w:rPr>
        <w:t>1</w:t>
      </w:r>
    </w:p>
    <w:p>
      <w:pPr>
        <w:sectPr>
          <w:pgSz w:w="11900" w:h="16838" w:orient="portrait"/>
          <w:cols w:equalWidth="0" w:num="1">
            <w:col w:w="11240"/>
          </w:cols>
          <w:pgMar w:left="320" w:top="371" w:right="339" w:bottom="1440" w:gutter="0" w:footer="0" w:header="0"/>
        </w:sectPr>
      </w:pPr>
    </w:p>
    <w:bookmarkStart w:id="15" w:name="page16"/>
    <w:bookmarkEnd w:id="15"/>
    <w:p>
      <w:pPr>
        <w:ind w:left="62"/>
        <w:spacing w:after="0"/>
        <w:tabs>
          <w:tab w:leader="none" w:pos="1161" w:val="left"/>
        </w:tabs>
        <w:rPr>
          <w:sz w:val="20"/>
          <w:szCs w:val="20"/>
          <w:color w:val="auto"/>
        </w:rPr>
      </w:pPr>
      <w:r>
        <w:rPr>
          <w:rFonts w:ascii="Times New Roman" w:cs="Times New Roman" w:eastAsia="Times New Roman" w:hAnsi="Times New Roman"/>
          <w:sz w:val="15"/>
          <w:szCs w:val="15"/>
          <w:b w:val="1"/>
          <w:bCs w:val="1"/>
          <w:color w:val="F04A22"/>
        </w:rPr>
        <w:drawing>
          <wp:anchor simplePos="0" relativeHeight="251657728" behindDoc="1" locked="0" layoutInCell="0" allowOverlap="1">
            <wp:simplePos x="0" y="0"/>
            <wp:positionH relativeFrom="page">
              <wp:posOffset>201930</wp:posOffset>
            </wp:positionH>
            <wp:positionV relativeFrom="page">
              <wp:posOffset>167005</wp:posOffset>
            </wp:positionV>
            <wp:extent cx="7144385" cy="622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4385" cy="62230"/>
                    </a:xfrm>
                    <a:prstGeom prst="rect">
                      <a:avLst/>
                    </a:prstGeom>
                    <a:noFill/>
                  </pic:spPr>
                </pic:pic>
              </a:graphicData>
            </a:graphic>
          </wp:anchor>
        </w:drawing>
        <w:t>MediaAlpha</w:t>
      </w:r>
      <w:r>
        <w:rPr>
          <w:sz w:val="20"/>
          <w:szCs w:val="20"/>
          <w:color w:val="auto"/>
        </w:rPr>
        <w:tab/>
      </w:r>
      <w:r>
        <w:rPr>
          <w:rFonts w:ascii="Times New Roman" w:cs="Times New Roman" w:eastAsia="Times New Roman" w:hAnsi="Times New Roman"/>
          <w:sz w:val="15"/>
          <w:szCs w:val="15"/>
          <w:color w:val="6B6B6B"/>
        </w:rPr>
        <w:t>Investor Supplement ·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43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211455</wp:posOffset>
            </wp:positionV>
            <wp:extent cx="205930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593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6B6B6B"/>
        </w:rPr>
        <w:t>INVESTOR SUPPLEMENT</w:t>
      </w:r>
    </w:p>
    <w:p>
      <w:pPr>
        <w:spacing w:after="0" w:line="86" w:lineRule="exact"/>
        <w:rPr>
          <w:sz w:val="20"/>
          <w:szCs w:val="20"/>
          <w:color w:val="auto"/>
        </w:rPr>
      </w:pPr>
    </w:p>
    <w:p>
      <w:pPr>
        <w:ind w:left="2"/>
        <w:spacing w:after="0"/>
        <w:rPr>
          <w:sz w:val="20"/>
          <w:szCs w:val="20"/>
          <w:color w:val="auto"/>
        </w:rPr>
      </w:pPr>
      <w:r>
        <w:rPr>
          <w:rFonts w:ascii="Times New Roman" w:cs="Times New Roman" w:eastAsia="Times New Roman" w:hAnsi="Times New Roman"/>
          <w:sz w:val="33"/>
          <w:szCs w:val="33"/>
          <w:b w:val="1"/>
          <w:bCs w:val="1"/>
          <w:color w:val="auto"/>
        </w:rPr>
        <w:t>Q3 2026 Consolidated Results</w:t>
      </w:r>
    </w:p>
    <w:p>
      <w:pPr>
        <w:spacing w:after="0" w:line="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6B6B6B"/>
        </w:rPr>
        <w:t>Three months ended September 30, 2026</w:t>
      </w:r>
    </w:p>
    <w:p>
      <w:pPr>
        <w:spacing w:after="0" w:line="195" w:lineRule="exact"/>
        <w:rPr>
          <w:sz w:val="20"/>
          <w:szCs w:val="20"/>
          <w:color w:val="auto"/>
        </w:rPr>
      </w:pPr>
    </w:p>
    <w:tbl>
      <w:tblPr>
        <w:tblLayout w:type="fixed"/>
        <w:tblInd w:w="2" w:type="dxa"/>
        <w:tblCellMar>
          <w:top w:w="0" w:type="dxa"/>
          <w:left w:w="0" w:type="dxa"/>
          <w:bottom w:w="0" w:type="dxa"/>
          <w:right w:w="0" w:type="dxa"/>
        </w:tblCellMar>
      </w:tblPr>
      <w:tr>
        <w:trPr>
          <w:trHeight w:val="241"/>
        </w:trPr>
        <w:tc>
          <w:tcPr>
            <w:tcW w:w="262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16"/>
                <w:szCs w:val="16"/>
                <w:color w:val="6B6B6B"/>
              </w:rPr>
              <w:t>REVENUE</w:t>
            </w:r>
          </w:p>
        </w:tc>
        <w:tc>
          <w:tcPr>
            <w:tcW w:w="180" w:type="dxa"/>
            <w:vAlign w:val="bottom"/>
          </w:tcPr>
          <w:p>
            <w:pPr>
              <w:spacing w:after="0"/>
              <w:rPr>
                <w:sz w:val="21"/>
                <w:szCs w:val="21"/>
                <w:color w:val="auto"/>
              </w:rPr>
            </w:pPr>
          </w:p>
        </w:tc>
        <w:tc>
          <w:tcPr>
            <w:tcW w:w="266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16"/>
                <w:szCs w:val="16"/>
                <w:color w:val="6B6B6B"/>
              </w:rPr>
              <w:t>CONTRIBUTION</w:t>
            </w:r>
            <w:r>
              <w:rPr>
                <w:rFonts w:ascii="Times New Roman" w:cs="Times New Roman" w:eastAsia="Times New Roman" w:hAnsi="Times New Roman"/>
                <w:sz w:val="21"/>
                <w:szCs w:val="21"/>
                <w:color w:val="6B6B6B"/>
                <w:vertAlign w:val="superscript"/>
              </w:rPr>
              <w:t>1</w:t>
            </w:r>
          </w:p>
        </w:tc>
        <w:tc>
          <w:tcPr>
            <w:tcW w:w="160" w:type="dxa"/>
            <w:vAlign w:val="bottom"/>
          </w:tcPr>
          <w:p>
            <w:pPr>
              <w:spacing w:after="0"/>
              <w:rPr>
                <w:sz w:val="21"/>
                <w:szCs w:val="21"/>
                <w:color w:val="auto"/>
              </w:rPr>
            </w:pPr>
          </w:p>
        </w:tc>
        <w:tc>
          <w:tcPr>
            <w:tcW w:w="266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16"/>
                <w:szCs w:val="16"/>
                <w:color w:val="6B6B6B"/>
              </w:rPr>
              <w:t>ADJUSTED EBITDA</w:t>
            </w:r>
            <w:r>
              <w:rPr>
                <w:rFonts w:ascii="Times New Roman" w:cs="Times New Roman" w:eastAsia="Times New Roman" w:hAnsi="Times New Roman"/>
                <w:sz w:val="21"/>
                <w:szCs w:val="21"/>
                <w:color w:val="6B6B6B"/>
                <w:vertAlign w:val="superscript"/>
              </w:rPr>
              <w:t>1</w:t>
            </w:r>
          </w:p>
        </w:tc>
        <w:tc>
          <w:tcPr>
            <w:tcW w:w="160" w:type="dxa"/>
            <w:vAlign w:val="bottom"/>
          </w:tcPr>
          <w:p>
            <w:pPr>
              <w:spacing w:after="0"/>
              <w:rPr>
                <w:sz w:val="21"/>
                <w:szCs w:val="21"/>
                <w:color w:val="auto"/>
              </w:rPr>
            </w:pPr>
          </w:p>
        </w:tc>
        <w:tc>
          <w:tcPr>
            <w:tcW w:w="2660" w:type="dxa"/>
            <w:vAlign w:val="bottom"/>
            <w:shd w:val="clear" w:color="auto" w:fill="F4F4F4"/>
          </w:tcPr>
          <w:p>
            <w:pPr>
              <w:ind w:left="120"/>
              <w:spacing w:after="0"/>
              <w:rPr>
                <w:sz w:val="20"/>
                <w:szCs w:val="20"/>
                <w:color w:val="auto"/>
              </w:rPr>
            </w:pPr>
            <w:r>
              <w:rPr>
                <w:rFonts w:ascii="Times New Roman" w:cs="Times New Roman" w:eastAsia="Times New Roman" w:hAnsi="Times New Roman"/>
                <w:sz w:val="16"/>
                <w:szCs w:val="16"/>
                <w:color w:val="6B6B6B"/>
              </w:rPr>
              <w:t>NET INCOME</w:t>
            </w:r>
          </w:p>
        </w:tc>
      </w:tr>
      <w:tr>
        <w:trPr>
          <w:trHeight w:val="254"/>
        </w:trPr>
        <w:tc>
          <w:tcPr>
            <w:tcW w:w="262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20"/>
                <w:szCs w:val="20"/>
                <w:b w:val="1"/>
                <w:bCs w:val="1"/>
                <w:color w:val="auto"/>
              </w:rPr>
              <w:t>$375.9M</w:t>
            </w:r>
          </w:p>
        </w:tc>
        <w:tc>
          <w:tcPr>
            <w:tcW w:w="180" w:type="dxa"/>
            <w:vAlign w:val="bottom"/>
          </w:tcPr>
          <w:p>
            <w:pPr>
              <w:spacing w:after="0"/>
              <w:rPr>
                <w:sz w:val="22"/>
                <w:szCs w:val="22"/>
                <w:color w:val="auto"/>
              </w:rPr>
            </w:pPr>
          </w:p>
        </w:tc>
        <w:tc>
          <w:tcPr>
            <w:tcW w:w="266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20"/>
                <w:szCs w:val="20"/>
                <w:b w:val="1"/>
                <w:bCs w:val="1"/>
                <w:color w:val="auto"/>
              </w:rPr>
              <w:t>$57.4M</w:t>
            </w:r>
          </w:p>
        </w:tc>
        <w:tc>
          <w:tcPr>
            <w:tcW w:w="160" w:type="dxa"/>
            <w:vAlign w:val="bottom"/>
          </w:tcPr>
          <w:p>
            <w:pPr>
              <w:spacing w:after="0"/>
              <w:rPr>
                <w:sz w:val="22"/>
                <w:szCs w:val="22"/>
                <w:color w:val="auto"/>
              </w:rPr>
            </w:pPr>
          </w:p>
        </w:tc>
        <w:tc>
          <w:tcPr>
            <w:tcW w:w="266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20"/>
                <w:szCs w:val="20"/>
                <w:b w:val="1"/>
                <w:bCs w:val="1"/>
                <w:color w:val="auto"/>
              </w:rPr>
              <w:t>$39.5M</w:t>
            </w:r>
          </w:p>
        </w:tc>
        <w:tc>
          <w:tcPr>
            <w:tcW w:w="160" w:type="dxa"/>
            <w:vAlign w:val="bottom"/>
          </w:tcPr>
          <w:p>
            <w:pPr>
              <w:spacing w:after="0"/>
              <w:rPr>
                <w:sz w:val="22"/>
                <w:szCs w:val="22"/>
                <w:color w:val="auto"/>
              </w:rPr>
            </w:pPr>
          </w:p>
        </w:tc>
        <w:tc>
          <w:tcPr>
            <w:tcW w:w="2660" w:type="dxa"/>
            <w:vAlign w:val="bottom"/>
            <w:shd w:val="clear" w:color="auto" w:fill="F4F4F4"/>
          </w:tcPr>
          <w:p>
            <w:pPr>
              <w:ind w:left="120"/>
              <w:spacing w:after="0"/>
              <w:rPr>
                <w:sz w:val="20"/>
                <w:szCs w:val="20"/>
                <w:color w:val="auto"/>
              </w:rPr>
            </w:pPr>
            <w:r>
              <w:rPr>
                <w:rFonts w:ascii="Times New Roman" w:cs="Times New Roman" w:eastAsia="Times New Roman" w:hAnsi="Times New Roman"/>
                <w:sz w:val="20"/>
                <w:szCs w:val="20"/>
                <w:b w:val="1"/>
                <w:bCs w:val="1"/>
                <w:color w:val="auto"/>
              </w:rPr>
              <w:t>$29.4M</w:t>
            </w:r>
          </w:p>
        </w:tc>
      </w:tr>
      <w:tr>
        <w:trPr>
          <w:trHeight w:val="218"/>
        </w:trPr>
        <w:tc>
          <w:tcPr>
            <w:tcW w:w="262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16"/>
                <w:szCs w:val="16"/>
                <w:b w:val="1"/>
                <w:bCs w:val="1"/>
                <w:color w:val="1E8A5B"/>
              </w:rPr>
              <w:t>▲ 23% YoY</w:t>
            </w:r>
          </w:p>
        </w:tc>
        <w:tc>
          <w:tcPr>
            <w:tcW w:w="180" w:type="dxa"/>
            <w:vAlign w:val="bottom"/>
          </w:tcPr>
          <w:p>
            <w:pPr>
              <w:spacing w:after="0"/>
              <w:rPr>
                <w:sz w:val="18"/>
                <w:szCs w:val="18"/>
                <w:color w:val="auto"/>
              </w:rPr>
            </w:pPr>
          </w:p>
        </w:tc>
        <w:tc>
          <w:tcPr>
            <w:tcW w:w="266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16"/>
                <w:szCs w:val="16"/>
                <w:b w:val="1"/>
                <w:bCs w:val="1"/>
                <w:color w:val="1E8A5B"/>
              </w:rPr>
              <w:t>▲ 26% YoY</w:t>
            </w:r>
          </w:p>
        </w:tc>
        <w:tc>
          <w:tcPr>
            <w:tcW w:w="160" w:type="dxa"/>
            <w:vAlign w:val="bottom"/>
          </w:tcPr>
          <w:p>
            <w:pPr>
              <w:spacing w:after="0"/>
              <w:rPr>
                <w:sz w:val="18"/>
                <w:szCs w:val="18"/>
                <w:color w:val="auto"/>
              </w:rPr>
            </w:pPr>
          </w:p>
        </w:tc>
        <w:tc>
          <w:tcPr>
            <w:tcW w:w="266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16"/>
                <w:szCs w:val="16"/>
                <w:b w:val="1"/>
                <w:bCs w:val="1"/>
                <w:color w:val="1E8A5B"/>
              </w:rPr>
              <w:t>▲ 36% YoY</w:t>
            </w:r>
          </w:p>
        </w:tc>
        <w:tc>
          <w:tcPr>
            <w:tcW w:w="160" w:type="dxa"/>
            <w:vAlign w:val="bottom"/>
          </w:tcPr>
          <w:p>
            <w:pPr>
              <w:spacing w:after="0"/>
              <w:rPr>
                <w:sz w:val="18"/>
                <w:szCs w:val="18"/>
                <w:color w:val="auto"/>
              </w:rPr>
            </w:pPr>
          </w:p>
        </w:tc>
        <w:tc>
          <w:tcPr>
            <w:tcW w:w="2660" w:type="dxa"/>
            <w:vAlign w:val="bottom"/>
            <w:shd w:val="clear" w:color="auto" w:fill="F4F4F4"/>
          </w:tcPr>
          <w:p>
            <w:pPr>
              <w:ind w:left="120"/>
              <w:spacing w:after="0"/>
              <w:rPr>
                <w:sz w:val="20"/>
                <w:szCs w:val="20"/>
                <w:color w:val="auto"/>
              </w:rPr>
            </w:pPr>
            <w:r>
              <w:rPr>
                <w:rFonts w:ascii="Times New Roman" w:cs="Times New Roman" w:eastAsia="Times New Roman" w:hAnsi="Times New Roman"/>
                <w:sz w:val="16"/>
                <w:szCs w:val="16"/>
                <w:b w:val="1"/>
                <w:bCs w:val="1"/>
                <w:color w:val="1E8A5B"/>
              </w:rPr>
              <w:t>vs. $17.6M</w:t>
            </w:r>
          </w:p>
        </w:tc>
      </w:tr>
      <w:tr>
        <w:trPr>
          <w:trHeight w:val="36"/>
        </w:trPr>
        <w:tc>
          <w:tcPr>
            <w:tcW w:w="2620" w:type="dxa"/>
            <w:vAlign w:val="bottom"/>
            <w:shd w:val="clear" w:color="auto" w:fill="F4F4F4"/>
          </w:tcPr>
          <w:p>
            <w:pPr>
              <w:spacing w:after="0"/>
              <w:rPr>
                <w:sz w:val="3"/>
                <w:szCs w:val="3"/>
                <w:color w:val="auto"/>
              </w:rPr>
            </w:pPr>
          </w:p>
        </w:tc>
        <w:tc>
          <w:tcPr>
            <w:tcW w:w="180" w:type="dxa"/>
            <w:vAlign w:val="bottom"/>
          </w:tcPr>
          <w:p>
            <w:pPr>
              <w:spacing w:after="0"/>
              <w:rPr>
                <w:sz w:val="3"/>
                <w:szCs w:val="3"/>
                <w:color w:val="auto"/>
              </w:rPr>
            </w:pPr>
          </w:p>
        </w:tc>
        <w:tc>
          <w:tcPr>
            <w:tcW w:w="2660" w:type="dxa"/>
            <w:vAlign w:val="bottom"/>
            <w:shd w:val="clear" w:color="auto" w:fill="F4F4F4"/>
          </w:tcPr>
          <w:p>
            <w:pPr>
              <w:spacing w:after="0"/>
              <w:rPr>
                <w:sz w:val="3"/>
                <w:szCs w:val="3"/>
                <w:color w:val="auto"/>
              </w:rPr>
            </w:pPr>
          </w:p>
        </w:tc>
        <w:tc>
          <w:tcPr>
            <w:tcW w:w="160" w:type="dxa"/>
            <w:vAlign w:val="bottom"/>
          </w:tcPr>
          <w:p>
            <w:pPr>
              <w:spacing w:after="0"/>
              <w:rPr>
                <w:sz w:val="3"/>
                <w:szCs w:val="3"/>
                <w:color w:val="auto"/>
              </w:rPr>
            </w:pPr>
          </w:p>
        </w:tc>
        <w:tc>
          <w:tcPr>
            <w:tcW w:w="2660" w:type="dxa"/>
            <w:vAlign w:val="bottom"/>
            <w:shd w:val="clear" w:color="auto" w:fill="F4F4F4"/>
          </w:tcPr>
          <w:p>
            <w:pPr>
              <w:spacing w:after="0"/>
              <w:rPr>
                <w:sz w:val="3"/>
                <w:szCs w:val="3"/>
                <w:color w:val="auto"/>
              </w:rPr>
            </w:pPr>
          </w:p>
        </w:tc>
        <w:tc>
          <w:tcPr>
            <w:tcW w:w="160" w:type="dxa"/>
            <w:vAlign w:val="bottom"/>
          </w:tcPr>
          <w:p>
            <w:pPr>
              <w:spacing w:after="0"/>
              <w:rPr>
                <w:sz w:val="3"/>
                <w:szCs w:val="3"/>
                <w:color w:val="auto"/>
              </w:rPr>
            </w:pPr>
          </w:p>
        </w:tc>
        <w:tc>
          <w:tcPr>
            <w:tcW w:w="2660" w:type="dxa"/>
            <w:vAlign w:val="bottom"/>
            <w:shd w:val="clear" w:color="auto" w:fill="F4F4F4"/>
          </w:tcPr>
          <w:p>
            <w:pPr>
              <w:spacing w:after="0"/>
              <w:rPr>
                <w:sz w:val="3"/>
                <w:szCs w:val="3"/>
                <w:color w:val="auto"/>
              </w:rPr>
            </w:pPr>
          </w:p>
        </w:tc>
      </w:tr>
    </w:tbl>
    <w:p>
      <w:pPr>
        <w:spacing w:after="0" w:line="200" w:lineRule="exact"/>
        <w:rPr>
          <w:sz w:val="20"/>
          <w:szCs w:val="20"/>
          <w:color w:val="auto"/>
        </w:rPr>
      </w:pPr>
    </w:p>
    <w:p>
      <w:pPr>
        <w:spacing w:after="0" w:line="304"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5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6"/>
                <w:szCs w:val="16"/>
                <w:b w:val="1"/>
                <w:bCs w:val="1"/>
                <w:color w:val="FFFFFF"/>
              </w:rPr>
              <w:t>(in millions, except percentages, unaudited)</w:t>
            </w:r>
          </w:p>
        </w:tc>
        <w:tc>
          <w:tcPr>
            <w:tcW w:w="1880" w:type="dxa"/>
            <w:vAlign w:val="bottom"/>
            <w:shd w:val="clear" w:color="auto" w:fill="000000"/>
          </w:tcPr>
          <w:p>
            <w:pPr>
              <w:spacing w:after="0"/>
              <w:rPr>
                <w:sz w:val="18"/>
                <w:szCs w:val="18"/>
                <w:color w:val="auto"/>
              </w:rPr>
            </w:pPr>
          </w:p>
        </w:tc>
        <w:tc>
          <w:tcPr>
            <w:tcW w:w="9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Q3 2026</w:t>
            </w:r>
          </w:p>
        </w:tc>
        <w:tc>
          <w:tcPr>
            <w:tcW w:w="460" w:type="dxa"/>
            <w:vAlign w:val="bottom"/>
            <w:shd w:val="clear" w:color="auto" w:fill="000000"/>
          </w:tcPr>
          <w:p>
            <w:pPr>
              <w:spacing w:after="0"/>
              <w:rPr>
                <w:sz w:val="18"/>
                <w:szCs w:val="18"/>
                <w:color w:val="auto"/>
              </w:rPr>
            </w:pPr>
          </w:p>
        </w:tc>
        <w:tc>
          <w:tcPr>
            <w:tcW w:w="1560" w:type="dxa"/>
            <w:vAlign w:val="bottom"/>
            <w:shd w:val="clear" w:color="auto" w:fill="000000"/>
          </w:tcPr>
          <w:p>
            <w:pPr>
              <w:jc w:val="right"/>
              <w:ind w:right="538"/>
              <w:spacing w:after="0"/>
              <w:rPr>
                <w:sz w:val="20"/>
                <w:szCs w:val="20"/>
                <w:color w:val="auto"/>
              </w:rPr>
            </w:pPr>
            <w:r>
              <w:rPr>
                <w:rFonts w:ascii="Times New Roman" w:cs="Times New Roman" w:eastAsia="Times New Roman" w:hAnsi="Times New Roman"/>
                <w:sz w:val="16"/>
                <w:szCs w:val="16"/>
                <w:b w:val="1"/>
                <w:bCs w:val="1"/>
                <w:color w:val="FFFFFF"/>
              </w:rPr>
              <w:t>Q3 2025</w:t>
            </w:r>
          </w:p>
        </w:tc>
        <w:tc>
          <w:tcPr>
            <w:tcW w:w="10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YoY</w:t>
            </w:r>
          </w:p>
        </w:tc>
      </w:tr>
      <w:tr>
        <w:trPr>
          <w:trHeight w:val="209"/>
        </w:trPr>
        <w:tc>
          <w:tcPr>
            <w:tcW w:w="5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18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38"/>
              <w:spacing w:after="0"/>
              <w:rPr>
                <w:sz w:val="20"/>
                <w:szCs w:val="20"/>
                <w:color w:val="auto"/>
              </w:rPr>
            </w:pPr>
            <w:r>
              <w:rPr>
                <w:rFonts w:ascii="Times New Roman" w:cs="Times New Roman" w:eastAsia="Times New Roman" w:hAnsi="Times New Roman"/>
                <w:sz w:val="16"/>
                <w:szCs w:val="16"/>
                <w:color w:val="auto"/>
              </w:rPr>
              <w:t>306.5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09"/>
        </w:trPr>
        <w:tc>
          <w:tcPr>
            <w:tcW w:w="5180" w:type="dxa"/>
            <w:vAlign w:val="bottom"/>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Under-65 Health Revenue</w:t>
            </w:r>
          </w:p>
        </w:tc>
        <w:tc>
          <w:tcPr>
            <w:tcW w:w="1880" w:type="dxa"/>
            <w:vAlign w:val="bottom"/>
            <w:shd w:val="clear" w:color="auto" w:fill="F4F4F4"/>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460" w:type="dxa"/>
            <w:vAlign w:val="bottom"/>
            <w:shd w:val="clear" w:color="auto" w:fill="F4F4F4"/>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F4F4F4"/>
          </w:tcPr>
          <w:p>
            <w:pPr>
              <w:jc w:val="right"/>
              <w:ind w:right="538"/>
              <w:spacing w:after="0"/>
              <w:rPr>
                <w:sz w:val="20"/>
                <w:szCs w:val="20"/>
                <w:color w:val="auto"/>
              </w:rPr>
            </w:pPr>
            <w:r>
              <w:rPr>
                <w:rFonts w:ascii="Times New Roman" w:cs="Times New Roman" w:eastAsia="Times New Roman" w:hAnsi="Times New Roman"/>
                <w:sz w:val="16"/>
                <w:szCs w:val="16"/>
                <w:color w:val="auto"/>
              </w:rPr>
              <w:t>9.0</w:t>
            </w: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9"/>
        </w:trPr>
        <w:tc>
          <w:tcPr>
            <w:tcW w:w="5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Revenue, excl. Under-65 Health</w:t>
            </w:r>
          </w:p>
        </w:tc>
        <w:tc>
          <w:tcPr>
            <w:tcW w:w="18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w:t>
            </w: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38"/>
              <w:spacing w:after="0"/>
              <w:rPr>
                <w:sz w:val="20"/>
                <w:szCs w:val="20"/>
                <w:color w:val="auto"/>
              </w:rPr>
            </w:pPr>
            <w:r>
              <w:rPr>
                <w:rFonts w:ascii="Times New Roman" w:cs="Times New Roman" w:eastAsia="Times New Roman" w:hAnsi="Times New Roman"/>
                <w:sz w:val="16"/>
                <w:szCs w:val="16"/>
                <w:color w:val="auto"/>
              </w:rPr>
              <w:t>297.5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86"/>
        </w:trPr>
        <w:tc>
          <w:tcPr>
            <w:tcW w:w="5180" w:type="dxa"/>
            <w:vAlign w:val="bottom"/>
            <w:shd w:val="clear" w:color="auto" w:fill="F4F4F4"/>
          </w:tcPr>
          <w:p>
            <w:pPr>
              <w:spacing w:after="0"/>
              <w:rPr>
                <w:sz w:val="7"/>
                <w:szCs w:val="7"/>
                <w:color w:val="auto"/>
              </w:rPr>
            </w:pPr>
          </w:p>
        </w:tc>
        <w:tc>
          <w:tcPr>
            <w:tcW w:w="1880" w:type="dxa"/>
            <w:vAlign w:val="bottom"/>
            <w:shd w:val="clear" w:color="auto" w:fill="F4F4F4"/>
          </w:tcPr>
          <w:p>
            <w:pPr>
              <w:spacing w:after="0"/>
              <w:rPr>
                <w:sz w:val="7"/>
                <w:szCs w:val="7"/>
                <w:color w:val="auto"/>
              </w:rPr>
            </w:pPr>
          </w:p>
        </w:tc>
        <w:tc>
          <w:tcPr>
            <w:tcW w:w="980" w:type="dxa"/>
            <w:vAlign w:val="bottom"/>
            <w:shd w:val="clear" w:color="auto" w:fill="F4F4F4"/>
          </w:tcPr>
          <w:p>
            <w:pPr>
              <w:spacing w:after="0"/>
              <w:rPr>
                <w:sz w:val="7"/>
                <w:szCs w:val="7"/>
                <w:color w:val="auto"/>
              </w:rPr>
            </w:pPr>
          </w:p>
        </w:tc>
        <w:tc>
          <w:tcPr>
            <w:tcW w:w="460" w:type="dxa"/>
            <w:vAlign w:val="bottom"/>
            <w:shd w:val="clear" w:color="auto" w:fill="F4F4F4"/>
          </w:tcPr>
          <w:p>
            <w:pPr>
              <w:spacing w:after="0"/>
              <w:rPr>
                <w:sz w:val="7"/>
                <w:szCs w:val="7"/>
                <w:color w:val="auto"/>
              </w:rPr>
            </w:pPr>
          </w:p>
        </w:tc>
        <w:tc>
          <w:tcPr>
            <w:tcW w:w="1560" w:type="dxa"/>
            <w:vAlign w:val="bottom"/>
            <w:shd w:val="clear" w:color="auto" w:fill="F4F4F4"/>
          </w:tcPr>
          <w:p>
            <w:pPr>
              <w:spacing w:after="0"/>
              <w:rPr>
                <w:sz w:val="7"/>
                <w:szCs w:val="7"/>
                <w:color w:val="auto"/>
              </w:rPr>
            </w:pPr>
          </w:p>
        </w:tc>
        <w:tc>
          <w:tcPr>
            <w:tcW w:w="1040" w:type="dxa"/>
            <w:vAlign w:val="bottom"/>
            <w:shd w:val="clear" w:color="auto" w:fill="F4F4F4"/>
          </w:tcPr>
          <w:p>
            <w:pPr>
              <w:spacing w:after="0"/>
              <w:rPr>
                <w:sz w:val="7"/>
                <w:szCs w:val="7"/>
                <w:color w:val="auto"/>
              </w:rPr>
            </w:pPr>
          </w:p>
        </w:tc>
      </w:tr>
      <w:tr>
        <w:trPr>
          <w:trHeight w:val="209"/>
        </w:trPr>
        <w:tc>
          <w:tcPr>
            <w:tcW w:w="5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Gross profit</w:t>
            </w:r>
          </w:p>
        </w:tc>
        <w:tc>
          <w:tcPr>
            <w:tcW w:w="18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38"/>
              <w:spacing w:after="0"/>
              <w:rPr>
                <w:sz w:val="20"/>
                <w:szCs w:val="20"/>
                <w:color w:val="auto"/>
              </w:rPr>
            </w:pPr>
            <w:r>
              <w:rPr>
                <w:rFonts w:ascii="Times New Roman" w:cs="Times New Roman" w:eastAsia="Times New Roman" w:hAnsi="Times New Roman"/>
                <w:sz w:val="16"/>
                <w:szCs w:val="16"/>
                <w:color w:val="auto"/>
              </w:rPr>
              <w:t>43.4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09"/>
        </w:trPr>
        <w:tc>
          <w:tcPr>
            <w:tcW w:w="5180" w:type="dxa"/>
            <w:vAlign w:val="bottom"/>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Contribution</w:t>
            </w:r>
          </w:p>
        </w:tc>
        <w:tc>
          <w:tcPr>
            <w:tcW w:w="1880" w:type="dxa"/>
            <w:vAlign w:val="bottom"/>
            <w:shd w:val="clear" w:color="auto" w:fill="F4F4F4"/>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460" w:type="dxa"/>
            <w:vAlign w:val="bottom"/>
            <w:shd w:val="clear" w:color="auto" w:fill="F4F4F4"/>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F4F4F4"/>
          </w:tcPr>
          <w:p>
            <w:pPr>
              <w:jc w:val="right"/>
              <w:ind w:right="538"/>
              <w:spacing w:after="0"/>
              <w:rPr>
                <w:sz w:val="20"/>
                <w:szCs w:val="20"/>
                <w:color w:val="auto"/>
              </w:rPr>
            </w:pPr>
            <w:r>
              <w:rPr>
                <w:rFonts w:ascii="Times New Roman" w:cs="Times New Roman" w:eastAsia="Times New Roman" w:hAnsi="Times New Roman"/>
                <w:sz w:val="16"/>
                <w:szCs w:val="16"/>
                <w:color w:val="auto"/>
              </w:rPr>
              <w:t>45.6</w:t>
            </w: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09"/>
        </w:trPr>
        <w:tc>
          <w:tcPr>
            <w:tcW w:w="5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Under-65 Health Contribution</w:t>
            </w:r>
          </w:p>
        </w:tc>
        <w:tc>
          <w:tcPr>
            <w:tcW w:w="18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38"/>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9"/>
        </w:trPr>
        <w:tc>
          <w:tcPr>
            <w:tcW w:w="5180" w:type="dxa"/>
            <w:vAlign w:val="bottom"/>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Contribution, excl. Under-65 Health</w:t>
            </w:r>
          </w:p>
        </w:tc>
        <w:tc>
          <w:tcPr>
            <w:tcW w:w="1880" w:type="dxa"/>
            <w:vAlign w:val="bottom"/>
            <w:shd w:val="clear" w:color="auto" w:fill="F4F4F4"/>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460" w:type="dxa"/>
            <w:vAlign w:val="bottom"/>
            <w:shd w:val="clear" w:color="auto" w:fill="F4F4F4"/>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F4F4F4"/>
          </w:tcPr>
          <w:p>
            <w:pPr>
              <w:jc w:val="right"/>
              <w:ind w:right="538"/>
              <w:spacing w:after="0"/>
              <w:rPr>
                <w:sz w:val="20"/>
                <w:szCs w:val="20"/>
                <w:color w:val="auto"/>
              </w:rPr>
            </w:pPr>
            <w:r>
              <w:rPr>
                <w:rFonts w:ascii="Times New Roman" w:cs="Times New Roman" w:eastAsia="Times New Roman" w:hAnsi="Times New Roman"/>
                <w:sz w:val="16"/>
                <w:szCs w:val="16"/>
                <w:color w:val="auto"/>
              </w:rPr>
              <w:t>44.1</w:t>
            </w: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86"/>
        </w:trPr>
        <w:tc>
          <w:tcPr>
            <w:tcW w:w="51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09"/>
        </w:trPr>
        <w:tc>
          <w:tcPr>
            <w:tcW w:w="5180" w:type="dxa"/>
            <w:vAlign w:val="bottom"/>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Adjusted EBITDA</w:t>
            </w:r>
          </w:p>
        </w:tc>
        <w:tc>
          <w:tcPr>
            <w:tcW w:w="1880" w:type="dxa"/>
            <w:vAlign w:val="bottom"/>
            <w:shd w:val="clear" w:color="auto" w:fill="F4F4F4"/>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460" w:type="dxa"/>
            <w:vAlign w:val="bottom"/>
            <w:shd w:val="clear" w:color="auto" w:fill="F4F4F4"/>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F4F4F4"/>
          </w:tcPr>
          <w:p>
            <w:pPr>
              <w:jc w:val="right"/>
              <w:ind w:right="538"/>
              <w:spacing w:after="0"/>
              <w:rPr>
                <w:sz w:val="20"/>
                <w:szCs w:val="20"/>
                <w:color w:val="auto"/>
              </w:rPr>
            </w:pPr>
            <w:r>
              <w:rPr>
                <w:rFonts w:ascii="Times New Roman" w:cs="Times New Roman" w:eastAsia="Times New Roman" w:hAnsi="Times New Roman"/>
                <w:sz w:val="16"/>
                <w:szCs w:val="16"/>
                <w:color w:val="auto"/>
              </w:rPr>
              <w:t>29.1</w:t>
            </w: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09"/>
        </w:trPr>
        <w:tc>
          <w:tcPr>
            <w:tcW w:w="5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Under-65 Health Contribution</w:t>
            </w:r>
          </w:p>
        </w:tc>
        <w:tc>
          <w:tcPr>
            <w:tcW w:w="18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38"/>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9"/>
        </w:trPr>
        <w:tc>
          <w:tcPr>
            <w:tcW w:w="5180" w:type="dxa"/>
            <w:vAlign w:val="bottom"/>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Adjusted EBITDA, excl. Under-65 Health Contribution</w:t>
            </w:r>
          </w:p>
        </w:tc>
        <w:tc>
          <w:tcPr>
            <w:tcW w:w="1880" w:type="dxa"/>
            <w:vAlign w:val="bottom"/>
            <w:shd w:val="clear" w:color="auto" w:fill="F4F4F4"/>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460" w:type="dxa"/>
            <w:vAlign w:val="bottom"/>
            <w:shd w:val="clear" w:color="auto" w:fill="F4F4F4"/>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F4F4F4"/>
          </w:tcPr>
          <w:p>
            <w:pPr>
              <w:jc w:val="right"/>
              <w:ind w:right="538"/>
              <w:spacing w:after="0"/>
              <w:rPr>
                <w:sz w:val="20"/>
                <w:szCs w:val="20"/>
                <w:color w:val="auto"/>
              </w:rPr>
            </w:pPr>
            <w:r>
              <w:rPr>
                <w:rFonts w:ascii="Times New Roman" w:cs="Times New Roman" w:eastAsia="Times New Roman" w:hAnsi="Times New Roman"/>
                <w:sz w:val="16"/>
                <w:szCs w:val="16"/>
                <w:color w:val="auto"/>
              </w:rPr>
              <w:t>27.6</w:t>
            </w: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09"/>
        </w:trPr>
        <w:tc>
          <w:tcPr>
            <w:tcW w:w="5180" w:type="dxa"/>
            <w:vAlign w:val="bottom"/>
            <w:tcBorders>
              <w:bottom w:val="single" w:sz="8" w:color="DADADA"/>
            </w:tcBorders>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880" w:type="dxa"/>
            <w:vAlign w:val="bottom"/>
            <w:tcBorders>
              <w:bottom w:val="single" w:sz="8" w:color="DADADA"/>
            </w:tcBorders>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460" w:type="dxa"/>
            <w:vAlign w:val="bottom"/>
            <w:tcBorders>
              <w:bottom w:val="single" w:sz="8" w:color="DADADA"/>
            </w:tcBorders>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DADADA"/>
            </w:tcBorders>
          </w:tcPr>
          <w:p>
            <w:pPr>
              <w:jc w:val="right"/>
              <w:ind w:right="538"/>
              <w:spacing w:after="0"/>
              <w:rPr>
                <w:sz w:val="20"/>
                <w:szCs w:val="20"/>
                <w:color w:val="auto"/>
              </w:rPr>
            </w:pPr>
            <w:r>
              <w:rPr>
                <w:rFonts w:ascii="Times New Roman" w:cs="Times New Roman" w:eastAsia="Times New Roman" w:hAnsi="Times New Roman"/>
                <w:sz w:val="16"/>
                <w:szCs w:val="16"/>
                <w:color w:val="auto"/>
              </w:rPr>
              <w:t>17.6</w:t>
            </w:r>
          </w:p>
        </w:tc>
        <w:tc>
          <w:tcPr>
            <w:tcW w:w="104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2" w:hanging="142"/>
        <w:spacing w:after="0"/>
        <w:tabs>
          <w:tab w:leader="none" w:pos="142" w:val="left"/>
        </w:tabs>
        <w:numPr>
          <w:ilvl w:val="0"/>
          <w:numId w:val="8"/>
        </w:numPr>
        <w:rPr>
          <w:rFonts w:ascii="Times New Roman" w:cs="Times New Roman" w:eastAsia="Times New Roman" w:hAnsi="Times New Roman"/>
          <w:sz w:val="16"/>
          <w:szCs w:val="16"/>
          <w:color w:val="535353"/>
        </w:rPr>
      </w:pPr>
      <w:r>
        <w:rPr>
          <w:rFonts w:ascii="Times New Roman" w:cs="Times New Roman" w:eastAsia="Times New Roman" w:hAnsi="Times New Roman"/>
          <w:sz w:val="16"/>
          <w:szCs w:val="16"/>
          <w:color w:val="535353"/>
        </w:rPr>
        <w:t>See “Key Business Metrics and Non-GAAP Financial Measures” for additional information regarding non-GAAP metrics and operating metrics used in this supplement.</w:t>
      </w:r>
    </w:p>
    <w:p>
      <w:pPr>
        <w:spacing w:after="0" w:line="200" w:lineRule="exact"/>
        <w:rPr>
          <w:rFonts w:ascii="Times New Roman" w:cs="Times New Roman" w:eastAsia="Times New Roman" w:hAnsi="Times New Roman"/>
          <w:sz w:val="16"/>
          <w:szCs w:val="16"/>
          <w:color w:val="535353"/>
        </w:rPr>
      </w:pPr>
    </w:p>
    <w:p>
      <w:pPr>
        <w:spacing w:after="0" w:line="352" w:lineRule="exact"/>
        <w:rPr>
          <w:rFonts w:ascii="Times New Roman" w:cs="Times New Roman" w:eastAsia="Times New Roman" w:hAnsi="Times New Roman"/>
          <w:sz w:val="16"/>
          <w:szCs w:val="16"/>
          <w:color w:val="535353"/>
        </w:rPr>
      </w:pPr>
    </w:p>
    <w:p>
      <w:pPr>
        <w:ind w:left="10862"/>
        <w:spacing w:after="0"/>
        <w:rPr>
          <w:rFonts w:ascii="Times New Roman" w:cs="Times New Roman" w:eastAsia="Times New Roman" w:hAnsi="Times New Roman"/>
          <w:sz w:val="16"/>
          <w:szCs w:val="16"/>
          <w:color w:val="535353"/>
        </w:rPr>
      </w:pPr>
      <w:r>
        <w:rPr>
          <w:rFonts w:ascii="Arial" w:cs="Arial" w:eastAsia="Arial" w:hAnsi="Arial"/>
          <w:sz w:val="16"/>
          <w:szCs w:val="16"/>
          <w:b w:val="1"/>
          <w:bCs w:val="1"/>
          <w:color w:val="F04A22"/>
        </w:rPr>
        <w:t>2</w:t>
      </w:r>
    </w:p>
    <w:p>
      <w:pPr>
        <w:sectPr>
          <w:pgSz w:w="11900" w:h="16838" w:orient="portrait"/>
          <w:cols w:equalWidth="0" w:num="1">
            <w:col w:w="11222"/>
          </w:cols>
          <w:pgMar w:left="318" w:top="469" w:right="359" w:bottom="1440" w:gutter="0" w:footer="0" w:header="0"/>
        </w:sectPr>
      </w:pPr>
    </w:p>
    <w:bookmarkStart w:id="16" w:name="page17"/>
    <w:bookmarkEnd w:id="16"/>
    <w:p>
      <w:pPr>
        <w:ind w:left="60"/>
        <w:spacing w:after="0"/>
        <w:tabs>
          <w:tab w:leader="none" w:pos="1160" w:val="left"/>
        </w:tabs>
        <w:rPr>
          <w:sz w:val="20"/>
          <w:szCs w:val="20"/>
          <w:color w:val="auto"/>
        </w:rPr>
      </w:pPr>
      <w:r>
        <w:rPr>
          <w:rFonts w:ascii="Times New Roman" w:cs="Times New Roman" w:eastAsia="Times New Roman" w:hAnsi="Times New Roman"/>
          <w:sz w:val="15"/>
          <w:szCs w:val="15"/>
          <w:b w:val="1"/>
          <w:bCs w:val="1"/>
          <w:color w:val="F04A22"/>
        </w:rPr>
        <w:drawing>
          <wp:anchor simplePos="0" relativeHeight="251657728" behindDoc="1" locked="0" layoutInCell="0" allowOverlap="1">
            <wp:simplePos x="0" y="0"/>
            <wp:positionH relativeFrom="page">
              <wp:posOffset>201930</wp:posOffset>
            </wp:positionH>
            <wp:positionV relativeFrom="page">
              <wp:posOffset>104775</wp:posOffset>
            </wp:positionV>
            <wp:extent cx="7144385" cy="62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4385" cy="62230"/>
                    </a:xfrm>
                    <a:prstGeom prst="rect">
                      <a:avLst/>
                    </a:prstGeom>
                    <a:noFill/>
                  </pic:spPr>
                </pic:pic>
              </a:graphicData>
            </a:graphic>
          </wp:anchor>
        </w:drawing>
        <w:t>MediaAlpha</w:t>
      </w:r>
      <w:r>
        <w:rPr>
          <w:sz w:val="20"/>
          <w:szCs w:val="20"/>
          <w:color w:val="auto"/>
        </w:rPr>
        <w:tab/>
      </w:r>
      <w:r>
        <w:rPr>
          <w:rFonts w:ascii="Times New Roman" w:cs="Times New Roman" w:eastAsia="Times New Roman" w:hAnsi="Times New Roman"/>
          <w:sz w:val="15"/>
          <w:szCs w:val="15"/>
          <w:color w:val="6B6B6B"/>
        </w:rPr>
        <w:t>Investor Supplement ·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714438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b w:val="1"/>
          <w:bCs w:val="1"/>
          <w:color w:val="auto"/>
        </w:rPr>
        <w:t>Revenue by Vertical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6B6B6B"/>
        </w:rPr>
        <w:t>$ in millions, unaudited — eight-quarter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108585</wp:posOffset>
            </wp:positionV>
            <wp:extent cx="5615940" cy="2246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1594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174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6"/>
                <w:szCs w:val="16"/>
                <w:b w:val="1"/>
                <w:bCs w:val="1"/>
                <w:color w:val="FFFFFF"/>
              </w:rPr>
              <w:t>Revenue by Vertical</w:t>
            </w:r>
          </w:p>
        </w:tc>
        <w:tc>
          <w:tcPr>
            <w:tcW w:w="640" w:type="dxa"/>
            <w:vAlign w:val="bottom"/>
            <w:shd w:val="clear" w:color="auto" w:fill="000000"/>
          </w:tcPr>
          <w:p>
            <w:pPr>
              <w:spacing w:after="0"/>
              <w:rPr>
                <w:sz w:val="19"/>
                <w:szCs w:val="19"/>
                <w:color w:val="auto"/>
              </w:rPr>
            </w:pPr>
          </w:p>
        </w:tc>
        <w:tc>
          <w:tcPr>
            <w:tcW w:w="7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Q4'24</w:t>
            </w:r>
          </w:p>
        </w:tc>
        <w:tc>
          <w:tcPr>
            <w:tcW w:w="380" w:type="dxa"/>
            <w:vAlign w:val="bottom"/>
            <w:shd w:val="clear" w:color="auto" w:fill="000000"/>
          </w:tcPr>
          <w:p>
            <w:pPr>
              <w:spacing w:after="0"/>
              <w:rPr>
                <w:sz w:val="19"/>
                <w:szCs w:val="19"/>
                <w:color w:val="auto"/>
              </w:rPr>
            </w:pPr>
          </w:p>
        </w:tc>
        <w:tc>
          <w:tcPr>
            <w:tcW w:w="7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Q1'25</w:t>
            </w:r>
          </w:p>
        </w:tc>
        <w:tc>
          <w:tcPr>
            <w:tcW w:w="400" w:type="dxa"/>
            <w:vAlign w:val="bottom"/>
            <w:shd w:val="clear" w:color="auto" w:fill="000000"/>
          </w:tcPr>
          <w:p>
            <w:pPr>
              <w:spacing w:after="0"/>
              <w:rPr>
                <w:sz w:val="19"/>
                <w:szCs w:val="19"/>
                <w:color w:val="auto"/>
              </w:rPr>
            </w:pPr>
          </w:p>
        </w:tc>
        <w:tc>
          <w:tcPr>
            <w:tcW w:w="7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Q2'25</w:t>
            </w:r>
          </w:p>
        </w:tc>
        <w:tc>
          <w:tcPr>
            <w:tcW w:w="380" w:type="dxa"/>
            <w:vAlign w:val="bottom"/>
            <w:shd w:val="clear" w:color="auto" w:fill="000000"/>
          </w:tcPr>
          <w:p>
            <w:pPr>
              <w:spacing w:after="0"/>
              <w:rPr>
                <w:sz w:val="19"/>
                <w:szCs w:val="19"/>
                <w:color w:val="auto"/>
              </w:rPr>
            </w:pPr>
          </w:p>
        </w:tc>
        <w:tc>
          <w:tcPr>
            <w:tcW w:w="7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Q3'25</w:t>
            </w:r>
          </w:p>
        </w:tc>
        <w:tc>
          <w:tcPr>
            <w:tcW w:w="400" w:type="dxa"/>
            <w:vAlign w:val="bottom"/>
            <w:shd w:val="clear" w:color="auto" w:fill="000000"/>
          </w:tcPr>
          <w:p>
            <w:pPr>
              <w:spacing w:after="0"/>
              <w:rPr>
                <w:sz w:val="19"/>
                <w:szCs w:val="19"/>
                <w:color w:val="auto"/>
              </w:rPr>
            </w:pPr>
          </w:p>
        </w:tc>
        <w:tc>
          <w:tcPr>
            <w:tcW w:w="7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Q4'25</w:t>
            </w:r>
          </w:p>
        </w:tc>
        <w:tc>
          <w:tcPr>
            <w:tcW w:w="400" w:type="dxa"/>
            <w:vAlign w:val="bottom"/>
            <w:shd w:val="clear" w:color="auto" w:fill="000000"/>
          </w:tcPr>
          <w:p>
            <w:pPr>
              <w:spacing w:after="0"/>
              <w:rPr>
                <w:sz w:val="19"/>
                <w:szCs w:val="19"/>
                <w:color w:val="auto"/>
              </w:rPr>
            </w:pPr>
          </w:p>
        </w:tc>
        <w:tc>
          <w:tcPr>
            <w:tcW w:w="7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Q1'26</w:t>
            </w:r>
          </w:p>
        </w:tc>
        <w:tc>
          <w:tcPr>
            <w:tcW w:w="400" w:type="dxa"/>
            <w:vAlign w:val="bottom"/>
            <w:shd w:val="clear" w:color="auto" w:fill="000000"/>
          </w:tcPr>
          <w:p>
            <w:pPr>
              <w:spacing w:after="0"/>
              <w:rPr>
                <w:sz w:val="19"/>
                <w:szCs w:val="19"/>
                <w:color w:val="auto"/>
              </w:rPr>
            </w:pPr>
          </w:p>
        </w:tc>
        <w:tc>
          <w:tcPr>
            <w:tcW w:w="7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Q2'26</w:t>
            </w:r>
          </w:p>
        </w:tc>
        <w:tc>
          <w:tcPr>
            <w:tcW w:w="400" w:type="dxa"/>
            <w:vAlign w:val="bottom"/>
            <w:shd w:val="clear" w:color="auto" w:fill="000000"/>
          </w:tcPr>
          <w:p>
            <w:pPr>
              <w:spacing w:after="0"/>
              <w:rPr>
                <w:sz w:val="19"/>
                <w:szCs w:val="19"/>
                <w:color w:val="auto"/>
              </w:rPr>
            </w:pPr>
          </w:p>
        </w:tc>
        <w:tc>
          <w:tcPr>
            <w:tcW w:w="7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Q3'26</w:t>
            </w:r>
          </w:p>
        </w:tc>
      </w:tr>
      <w:tr>
        <w:trPr>
          <w:trHeight w:val="209"/>
        </w:trPr>
        <w:tc>
          <w:tcPr>
            <w:tcW w:w="1740" w:type="dxa"/>
            <w:vAlign w:val="bottom"/>
            <w:tcBorders>
              <w:bottom w:val="single" w:sz="8" w:color="DADADA"/>
            </w:tcBorders>
          </w:tcPr>
          <w:p>
            <w:pPr>
              <w:ind w:left="60"/>
              <w:spacing w:after="0"/>
              <w:rPr>
                <w:sz w:val="20"/>
                <w:szCs w:val="20"/>
                <w:color w:val="auto"/>
              </w:rPr>
            </w:pPr>
            <w:r>
              <w:rPr>
                <w:rFonts w:ascii="Times New Roman" w:cs="Times New Roman" w:eastAsia="Times New Roman" w:hAnsi="Times New Roman"/>
                <w:sz w:val="16"/>
                <w:szCs w:val="16"/>
                <w:color w:val="auto"/>
              </w:rPr>
              <w:t>Property &amp; casualty</w:t>
            </w:r>
          </w:p>
        </w:tc>
        <w:tc>
          <w:tcPr>
            <w:tcW w:w="64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380" w:type="dxa"/>
            <w:vAlign w:val="bottom"/>
            <w:tcBorders>
              <w:bottom w:val="single" w:sz="8" w:color="DADADA"/>
            </w:tcBorders>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40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380" w:type="dxa"/>
            <w:vAlign w:val="bottom"/>
            <w:tcBorders>
              <w:bottom w:val="single" w:sz="8" w:color="DADADA"/>
            </w:tcBorders>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40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40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40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400" w:type="dxa"/>
            <w:vAlign w:val="bottom"/>
            <w:tcBorders>
              <w:bottom w:val="single" w:sz="8" w:color="DADADA"/>
            </w:tcBorders>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01"/>
        </w:trPr>
        <w:tc>
          <w:tcPr>
            <w:tcW w:w="1740" w:type="dxa"/>
            <w:vAlign w:val="bottom"/>
            <w:tcBorders>
              <w:bottom w:val="single" w:sz="8" w:color="DADADA"/>
            </w:tcBorders>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Health</w:t>
            </w:r>
          </w:p>
        </w:tc>
        <w:tc>
          <w:tcPr>
            <w:tcW w:w="640" w:type="dxa"/>
            <w:vAlign w:val="bottom"/>
            <w:tcBorders>
              <w:bottom w:val="single" w:sz="8" w:color="DADADA"/>
            </w:tcBorders>
            <w:shd w:val="clear" w:color="auto" w:fill="F4F4F4"/>
          </w:tcPr>
          <w:p>
            <w:pPr>
              <w:spacing w:after="0"/>
              <w:rPr>
                <w:sz w:val="17"/>
                <w:szCs w:val="17"/>
                <w:color w:val="auto"/>
              </w:rPr>
            </w:pPr>
          </w:p>
        </w:tc>
        <w:tc>
          <w:tcPr>
            <w:tcW w:w="74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80" w:type="dxa"/>
            <w:vAlign w:val="bottom"/>
            <w:tcBorders>
              <w:bottom w:val="single" w:sz="8" w:color="DADADA"/>
            </w:tcBorders>
            <w:shd w:val="clear" w:color="auto" w:fill="F4F4F4"/>
          </w:tcPr>
          <w:p>
            <w:pPr>
              <w:spacing w:after="0"/>
              <w:rPr>
                <w:sz w:val="17"/>
                <w:szCs w:val="17"/>
                <w:color w:val="auto"/>
              </w:rPr>
            </w:pPr>
          </w:p>
        </w:tc>
        <w:tc>
          <w:tcPr>
            <w:tcW w:w="74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00" w:type="dxa"/>
            <w:vAlign w:val="bottom"/>
            <w:tcBorders>
              <w:bottom w:val="single" w:sz="8" w:color="DADADA"/>
            </w:tcBorders>
            <w:shd w:val="clear" w:color="auto" w:fill="F4F4F4"/>
          </w:tcPr>
          <w:p>
            <w:pPr>
              <w:spacing w:after="0"/>
              <w:rPr>
                <w:sz w:val="17"/>
                <w:szCs w:val="17"/>
                <w:color w:val="auto"/>
              </w:rPr>
            </w:pPr>
          </w:p>
        </w:tc>
        <w:tc>
          <w:tcPr>
            <w:tcW w:w="74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tcBorders>
              <w:bottom w:val="single" w:sz="8" w:color="DADADA"/>
            </w:tcBorders>
            <w:shd w:val="clear" w:color="auto" w:fill="F4F4F4"/>
          </w:tcPr>
          <w:p>
            <w:pPr>
              <w:spacing w:after="0"/>
              <w:rPr>
                <w:sz w:val="17"/>
                <w:szCs w:val="17"/>
                <w:color w:val="auto"/>
              </w:rPr>
            </w:pPr>
          </w:p>
        </w:tc>
        <w:tc>
          <w:tcPr>
            <w:tcW w:w="74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0" w:type="dxa"/>
            <w:vAlign w:val="bottom"/>
            <w:tcBorders>
              <w:bottom w:val="single" w:sz="8" w:color="DADADA"/>
            </w:tcBorders>
            <w:shd w:val="clear" w:color="auto" w:fill="F4F4F4"/>
          </w:tcPr>
          <w:p>
            <w:pPr>
              <w:spacing w:after="0"/>
              <w:rPr>
                <w:sz w:val="17"/>
                <w:szCs w:val="17"/>
                <w:color w:val="auto"/>
              </w:rPr>
            </w:pPr>
          </w:p>
        </w:tc>
        <w:tc>
          <w:tcPr>
            <w:tcW w:w="74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0" w:type="dxa"/>
            <w:vAlign w:val="bottom"/>
            <w:tcBorders>
              <w:bottom w:val="single" w:sz="8" w:color="DADADA"/>
            </w:tcBorders>
            <w:shd w:val="clear" w:color="auto" w:fill="F4F4F4"/>
          </w:tcPr>
          <w:p>
            <w:pPr>
              <w:spacing w:after="0"/>
              <w:rPr>
                <w:sz w:val="17"/>
                <w:szCs w:val="17"/>
                <w:color w:val="auto"/>
              </w:rPr>
            </w:pPr>
          </w:p>
        </w:tc>
        <w:tc>
          <w:tcPr>
            <w:tcW w:w="74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tcBorders>
              <w:bottom w:val="single" w:sz="8" w:color="DADADA"/>
            </w:tcBorders>
            <w:shd w:val="clear" w:color="auto" w:fill="F4F4F4"/>
          </w:tcPr>
          <w:p>
            <w:pPr>
              <w:spacing w:after="0"/>
              <w:rPr>
                <w:sz w:val="17"/>
                <w:szCs w:val="17"/>
                <w:color w:val="auto"/>
              </w:rPr>
            </w:pPr>
          </w:p>
        </w:tc>
        <w:tc>
          <w:tcPr>
            <w:tcW w:w="74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Borders>
              <w:bottom w:val="single" w:sz="8" w:color="DADADA"/>
            </w:tcBorders>
            <w:shd w:val="clear" w:color="auto" w:fill="F4F4F4"/>
          </w:tcPr>
          <w:p>
            <w:pPr>
              <w:spacing w:after="0"/>
              <w:rPr>
                <w:sz w:val="17"/>
                <w:szCs w:val="17"/>
                <w:color w:val="auto"/>
              </w:rPr>
            </w:pPr>
          </w:p>
        </w:tc>
        <w:tc>
          <w:tcPr>
            <w:tcW w:w="78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1"/>
        </w:trPr>
        <w:tc>
          <w:tcPr>
            <w:tcW w:w="1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Life &amp; other</w:t>
            </w:r>
          </w:p>
        </w:tc>
        <w:tc>
          <w:tcPr>
            <w:tcW w:w="6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1"/>
        </w:trPr>
        <w:tc>
          <w:tcPr>
            <w:tcW w:w="1740" w:type="dxa"/>
            <w:vAlign w:val="bottom"/>
            <w:shd w:val="clear" w:color="auto" w:fill="F4F4F4"/>
          </w:tcPr>
          <w:p>
            <w:pPr>
              <w:ind w:left="6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640" w:type="dxa"/>
            <w:vAlign w:val="bottom"/>
            <w:shd w:val="clear" w:color="auto" w:fill="F4F4F4"/>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b w:val="1"/>
                <w:bCs w:val="1"/>
                <w:color w:val="auto"/>
              </w:rPr>
              <w:t>301</w:t>
            </w:r>
          </w:p>
        </w:tc>
        <w:tc>
          <w:tcPr>
            <w:tcW w:w="380" w:type="dxa"/>
            <w:vAlign w:val="bottom"/>
            <w:shd w:val="clear" w:color="auto" w:fill="F4F4F4"/>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b w:val="1"/>
                <w:bCs w:val="1"/>
                <w:color w:val="auto"/>
              </w:rPr>
              <w:t>264</w:t>
            </w:r>
          </w:p>
        </w:tc>
        <w:tc>
          <w:tcPr>
            <w:tcW w:w="400" w:type="dxa"/>
            <w:vAlign w:val="bottom"/>
            <w:shd w:val="clear" w:color="auto" w:fill="F4F4F4"/>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b w:val="1"/>
                <w:bCs w:val="1"/>
                <w:color w:val="auto"/>
              </w:rPr>
              <w:t>252</w:t>
            </w:r>
          </w:p>
        </w:tc>
        <w:tc>
          <w:tcPr>
            <w:tcW w:w="380" w:type="dxa"/>
            <w:vAlign w:val="bottom"/>
            <w:shd w:val="clear" w:color="auto" w:fill="F4F4F4"/>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b w:val="1"/>
                <w:bCs w:val="1"/>
                <w:color w:val="auto"/>
              </w:rPr>
              <w:t>307</w:t>
            </w:r>
          </w:p>
        </w:tc>
        <w:tc>
          <w:tcPr>
            <w:tcW w:w="400" w:type="dxa"/>
            <w:vAlign w:val="bottom"/>
            <w:shd w:val="clear" w:color="auto" w:fill="F4F4F4"/>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b w:val="1"/>
                <w:bCs w:val="1"/>
                <w:color w:val="auto"/>
              </w:rPr>
              <w:t>291</w:t>
            </w:r>
          </w:p>
        </w:tc>
        <w:tc>
          <w:tcPr>
            <w:tcW w:w="400" w:type="dxa"/>
            <w:vAlign w:val="bottom"/>
            <w:shd w:val="clear" w:color="auto" w:fill="F4F4F4"/>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b w:val="1"/>
                <w:bCs w:val="1"/>
                <w:color w:val="auto"/>
              </w:rPr>
              <w:t>310</w:t>
            </w:r>
          </w:p>
        </w:tc>
        <w:tc>
          <w:tcPr>
            <w:tcW w:w="400" w:type="dxa"/>
            <w:vAlign w:val="bottom"/>
            <w:shd w:val="clear" w:color="auto" w:fill="F4F4F4"/>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400" w:type="dxa"/>
            <w:vAlign w:val="bottom"/>
            <w:shd w:val="clear" w:color="auto" w:fill="F4F4F4"/>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b w:val="1"/>
                <w:bCs w:val="1"/>
                <w:color w:val="auto"/>
              </w:rPr>
              <w:t>376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860"/>
        <w:spacing w:after="0"/>
        <w:rPr>
          <w:sz w:val="20"/>
          <w:szCs w:val="20"/>
          <w:color w:val="auto"/>
        </w:rPr>
      </w:pPr>
      <w:r>
        <w:rPr>
          <w:rFonts w:ascii="Arial" w:cs="Arial" w:eastAsia="Arial" w:hAnsi="Arial"/>
          <w:sz w:val="16"/>
          <w:szCs w:val="16"/>
          <w:color w:val="F36D4D"/>
        </w:rPr>
        <w:t>3</w:t>
      </w:r>
    </w:p>
    <w:p>
      <w:pPr>
        <w:sectPr>
          <w:pgSz w:w="11900" w:h="16838" w:orient="portrait"/>
          <w:cols w:equalWidth="0" w:num="1">
            <w:col w:w="11180"/>
          </w:cols>
          <w:pgMar w:left="320" w:top="371" w:right="399" w:bottom="1440" w:gutter="0" w:footer="0" w:header="0"/>
        </w:sectPr>
      </w:pPr>
    </w:p>
    <w:bookmarkStart w:id="17" w:name="page18"/>
    <w:bookmarkEnd w:id="17"/>
    <w:p>
      <w:pPr>
        <w:ind w:left="60"/>
        <w:spacing w:after="0"/>
        <w:tabs>
          <w:tab w:leader="none" w:pos="1160" w:val="left"/>
        </w:tabs>
        <w:rPr>
          <w:sz w:val="20"/>
          <w:szCs w:val="20"/>
          <w:color w:val="auto"/>
        </w:rPr>
      </w:pPr>
      <w:r>
        <w:rPr>
          <w:rFonts w:ascii="Times New Roman" w:cs="Times New Roman" w:eastAsia="Times New Roman" w:hAnsi="Times New Roman"/>
          <w:sz w:val="15"/>
          <w:szCs w:val="15"/>
          <w:b w:val="1"/>
          <w:bCs w:val="1"/>
          <w:color w:val="F04A22"/>
        </w:rPr>
        <w:drawing>
          <wp:anchor simplePos="0" relativeHeight="251657728" behindDoc="1" locked="0" layoutInCell="0" allowOverlap="1">
            <wp:simplePos x="0" y="0"/>
            <wp:positionH relativeFrom="page">
              <wp:posOffset>201930</wp:posOffset>
            </wp:positionH>
            <wp:positionV relativeFrom="page">
              <wp:posOffset>104775</wp:posOffset>
            </wp:positionV>
            <wp:extent cx="7144385" cy="62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62230"/>
                    </a:xfrm>
                    <a:prstGeom prst="rect">
                      <a:avLst/>
                    </a:prstGeom>
                    <a:noFill/>
                  </pic:spPr>
                </pic:pic>
              </a:graphicData>
            </a:graphic>
          </wp:anchor>
        </w:drawing>
        <w:t>MediaAlpha</w:t>
      </w:r>
      <w:r>
        <w:rPr>
          <w:sz w:val="20"/>
          <w:szCs w:val="20"/>
          <w:color w:val="auto"/>
        </w:rPr>
        <w:tab/>
      </w:r>
      <w:r>
        <w:rPr>
          <w:rFonts w:ascii="Times New Roman" w:cs="Times New Roman" w:eastAsia="Times New Roman" w:hAnsi="Times New Roman"/>
          <w:sz w:val="15"/>
          <w:szCs w:val="15"/>
          <w:color w:val="6B6B6B"/>
        </w:rPr>
        <w:t>Investor Supplement ·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71443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Revenue by Vertical and Platform Model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6B6B6B"/>
        </w:rPr>
        <w:t>$ in millions, unaudited — 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108585</wp:posOffset>
            </wp:positionV>
            <wp:extent cx="6364605" cy="1871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64605" cy="1871980"/>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By vertical</w:t>
            </w: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83"/>
        </w:trPr>
        <w:tc>
          <w:tcPr>
            <w:tcW w:w="1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6"/>
        </w:trPr>
        <w:tc>
          <w:tcPr>
            <w:tcW w:w="18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6"/>
                <w:szCs w:val="16"/>
                <w:b w:val="1"/>
                <w:bCs w:val="1"/>
                <w:color w:val="FFFFFF"/>
              </w:rPr>
              <w:t>Vertical</w:t>
            </w:r>
          </w:p>
        </w:tc>
        <w:tc>
          <w:tcPr>
            <w:tcW w:w="780" w:type="dxa"/>
            <w:vAlign w:val="bottom"/>
            <w:shd w:val="clear" w:color="auto" w:fill="000000"/>
          </w:tcPr>
          <w:p>
            <w:pPr>
              <w:spacing w:after="0"/>
              <w:rPr>
                <w:sz w:val="21"/>
                <w:szCs w:val="21"/>
                <w:color w:val="auto"/>
              </w:rPr>
            </w:pPr>
          </w:p>
        </w:tc>
        <w:tc>
          <w:tcPr>
            <w:tcW w:w="6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2026</w:t>
            </w:r>
          </w:p>
        </w:tc>
        <w:tc>
          <w:tcPr>
            <w:tcW w:w="620" w:type="dxa"/>
            <w:vAlign w:val="bottom"/>
            <w:shd w:val="clear" w:color="auto" w:fill="000000"/>
          </w:tcPr>
          <w:p>
            <w:pPr>
              <w:spacing w:after="0"/>
              <w:rPr>
                <w:sz w:val="21"/>
                <w:szCs w:val="21"/>
                <w:color w:val="auto"/>
              </w:rPr>
            </w:pPr>
          </w:p>
        </w:tc>
        <w:tc>
          <w:tcPr>
            <w:tcW w:w="280" w:type="dxa"/>
            <w:vAlign w:val="bottom"/>
            <w:shd w:val="clear" w:color="auto" w:fill="000000"/>
          </w:tcPr>
          <w:p>
            <w:pPr>
              <w:spacing w:after="0"/>
              <w:rPr>
                <w:sz w:val="21"/>
                <w:szCs w:val="21"/>
                <w:color w:val="auto"/>
              </w:rPr>
            </w:pPr>
          </w:p>
        </w:tc>
        <w:tc>
          <w:tcPr>
            <w:tcW w:w="6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2025</w:t>
            </w:r>
          </w:p>
        </w:tc>
        <w:tc>
          <w:tcPr>
            <w:tcW w:w="640" w:type="dxa"/>
            <w:vAlign w:val="bottom"/>
            <w:shd w:val="clear" w:color="auto" w:fill="000000"/>
          </w:tcPr>
          <w:p>
            <w:pPr>
              <w:spacing w:after="0"/>
              <w:rPr>
                <w:sz w:val="21"/>
                <w:szCs w:val="21"/>
                <w:color w:val="auto"/>
              </w:rPr>
            </w:pPr>
          </w:p>
        </w:tc>
      </w:tr>
      <w:tr>
        <w:trPr>
          <w:trHeight w:val="217"/>
        </w:trPr>
        <w:tc>
          <w:tcPr>
            <w:tcW w:w="1880" w:type="dxa"/>
            <w:vAlign w:val="bottom"/>
            <w:tcBorders>
              <w:bottom w:val="single" w:sz="8" w:color="DADADA"/>
            </w:tcBorders>
          </w:tcPr>
          <w:p>
            <w:pPr>
              <w:ind w:left="60"/>
              <w:spacing w:after="0"/>
              <w:rPr>
                <w:sz w:val="20"/>
                <w:szCs w:val="20"/>
                <w:color w:val="auto"/>
              </w:rPr>
            </w:pPr>
            <w:r>
              <w:rPr>
                <w:rFonts w:ascii="Times New Roman" w:cs="Times New Roman" w:eastAsia="Times New Roman" w:hAnsi="Times New Roman"/>
                <w:sz w:val="16"/>
                <w:szCs w:val="16"/>
                <w:color w:val="auto"/>
              </w:rPr>
              <w:t>Property &amp; casualty</w:t>
            </w:r>
          </w:p>
        </w:tc>
        <w:tc>
          <w:tcPr>
            <w:tcW w:w="780" w:type="dxa"/>
            <w:vAlign w:val="bottom"/>
            <w:tcBorders>
              <w:bottom w:val="single" w:sz="8" w:color="DADADA"/>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DADADA"/>
            </w:tcBorders>
          </w:tcPr>
          <w:p>
            <w:pPr>
              <w:jc w:val="right"/>
              <w:ind w:right="18"/>
              <w:spacing w:after="0"/>
              <w:rPr>
                <w:sz w:val="20"/>
                <w:szCs w:val="20"/>
                <w:color w:val="auto"/>
              </w:rPr>
            </w:pPr>
            <w:r>
              <w:rPr>
                <w:rFonts w:ascii="Times New Roman" w:cs="Times New Roman" w:eastAsia="Times New Roman" w:hAnsi="Times New Roman"/>
                <w:sz w:val="16"/>
                <w:szCs w:val="16"/>
                <w:color w:val="auto"/>
              </w:rPr>
              <w:t>365.9</w:t>
            </w:r>
          </w:p>
        </w:tc>
        <w:tc>
          <w:tcPr>
            <w:tcW w:w="62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280" w:type="dxa"/>
            <w:vAlign w:val="bottom"/>
            <w:tcBorders>
              <w:bottom w:val="single" w:sz="8" w:color="DADADA"/>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64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13"/>
        </w:trPr>
        <w:tc>
          <w:tcPr>
            <w:tcW w:w="1880" w:type="dxa"/>
            <w:vAlign w:val="bottom"/>
            <w:tcBorders>
              <w:bottom w:val="single" w:sz="8" w:color="DADADA"/>
            </w:tcBorders>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Health</w:t>
            </w:r>
          </w:p>
        </w:tc>
        <w:tc>
          <w:tcPr>
            <w:tcW w:w="780" w:type="dxa"/>
            <w:vAlign w:val="bottom"/>
            <w:tcBorders>
              <w:bottom w:val="single" w:sz="8" w:color="DADADA"/>
            </w:tcBorders>
            <w:shd w:val="clear" w:color="auto" w:fill="F4F4F4"/>
          </w:tcPr>
          <w:p>
            <w:pPr>
              <w:spacing w:after="0"/>
              <w:rPr>
                <w:sz w:val="18"/>
                <w:szCs w:val="18"/>
                <w:color w:val="auto"/>
              </w:rPr>
            </w:pPr>
          </w:p>
        </w:tc>
        <w:tc>
          <w:tcPr>
            <w:tcW w:w="640" w:type="dxa"/>
            <w:vAlign w:val="bottom"/>
            <w:tcBorders>
              <w:bottom w:val="single" w:sz="8" w:color="DADADA"/>
            </w:tcBorders>
            <w:shd w:val="clear" w:color="auto" w:fill="F4F4F4"/>
          </w:tcPr>
          <w:p>
            <w:pPr>
              <w:jc w:val="right"/>
              <w:ind w:right="18"/>
              <w:spacing w:after="0"/>
              <w:rPr>
                <w:sz w:val="20"/>
                <w:szCs w:val="20"/>
                <w:color w:val="auto"/>
              </w:rPr>
            </w:pPr>
            <w:r>
              <w:rPr>
                <w:rFonts w:ascii="Times New Roman" w:cs="Times New Roman" w:eastAsia="Times New Roman" w:hAnsi="Times New Roman"/>
                <w:sz w:val="16"/>
                <w:szCs w:val="16"/>
                <w:color w:val="auto"/>
              </w:rPr>
              <w:t>2.9</w:t>
            </w:r>
          </w:p>
        </w:tc>
        <w:tc>
          <w:tcPr>
            <w:tcW w:w="62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80" w:type="dxa"/>
            <w:vAlign w:val="bottom"/>
            <w:tcBorders>
              <w:bottom w:val="single" w:sz="8" w:color="DADADA"/>
            </w:tcBorders>
            <w:shd w:val="clear" w:color="auto" w:fill="F4F4F4"/>
          </w:tcPr>
          <w:p>
            <w:pPr>
              <w:spacing w:after="0"/>
              <w:rPr>
                <w:sz w:val="18"/>
                <w:szCs w:val="18"/>
                <w:color w:val="auto"/>
              </w:rPr>
            </w:pPr>
          </w:p>
        </w:tc>
        <w:tc>
          <w:tcPr>
            <w:tcW w:w="64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64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1880" w:type="dxa"/>
            <w:vAlign w:val="bottom"/>
            <w:tcBorders>
              <w:bottom w:val="single" w:sz="8" w:color="DADADA"/>
            </w:tcBorders>
          </w:tcPr>
          <w:p>
            <w:pPr>
              <w:ind w:left="60"/>
              <w:spacing w:after="0"/>
              <w:rPr>
                <w:sz w:val="20"/>
                <w:szCs w:val="20"/>
                <w:color w:val="auto"/>
              </w:rPr>
            </w:pPr>
            <w:r>
              <w:rPr>
                <w:rFonts w:ascii="Times New Roman" w:cs="Times New Roman" w:eastAsia="Times New Roman" w:hAnsi="Times New Roman"/>
                <w:sz w:val="16"/>
                <w:szCs w:val="16"/>
                <w:color w:val="auto"/>
              </w:rPr>
              <w:t>Life</w:t>
            </w:r>
          </w:p>
        </w:tc>
        <w:tc>
          <w:tcPr>
            <w:tcW w:w="780" w:type="dxa"/>
            <w:vAlign w:val="bottom"/>
            <w:tcBorders>
              <w:bottom w:val="single" w:sz="8" w:color="DADADA"/>
            </w:tcBorders>
          </w:tcPr>
          <w:p>
            <w:pPr>
              <w:spacing w:after="0"/>
              <w:rPr>
                <w:sz w:val="18"/>
                <w:szCs w:val="18"/>
                <w:color w:val="auto"/>
              </w:rPr>
            </w:pPr>
          </w:p>
        </w:tc>
        <w:tc>
          <w:tcPr>
            <w:tcW w:w="640" w:type="dxa"/>
            <w:vAlign w:val="bottom"/>
            <w:tcBorders>
              <w:bottom w:val="single" w:sz="8" w:color="DADADA"/>
            </w:tcBorders>
          </w:tcPr>
          <w:p>
            <w:pPr>
              <w:jc w:val="right"/>
              <w:ind w:right="18"/>
              <w:spacing w:after="0"/>
              <w:rPr>
                <w:sz w:val="20"/>
                <w:szCs w:val="20"/>
                <w:color w:val="auto"/>
              </w:rPr>
            </w:pPr>
            <w:r>
              <w:rPr>
                <w:rFonts w:ascii="Times New Roman" w:cs="Times New Roman" w:eastAsia="Times New Roman" w:hAnsi="Times New Roman"/>
                <w:sz w:val="16"/>
                <w:szCs w:val="16"/>
                <w:color w:val="auto"/>
              </w:rPr>
              <w:t>6.8</w:t>
            </w:r>
          </w:p>
        </w:tc>
        <w:tc>
          <w:tcPr>
            <w:tcW w:w="62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tcBorders>
              <w:bottom w:val="single" w:sz="8" w:color="DADADA"/>
            </w:tcBorders>
          </w:tcPr>
          <w:p>
            <w:pPr>
              <w:spacing w:after="0"/>
              <w:rPr>
                <w:sz w:val="18"/>
                <w:szCs w:val="18"/>
                <w:color w:val="auto"/>
              </w:rPr>
            </w:pPr>
          </w:p>
        </w:tc>
        <w:tc>
          <w:tcPr>
            <w:tcW w:w="64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64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1880" w:type="dxa"/>
            <w:vAlign w:val="bottom"/>
            <w:tcBorders>
              <w:bottom w:val="single" w:sz="8" w:color="auto"/>
            </w:tcBorders>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Other</w:t>
            </w:r>
          </w:p>
        </w:tc>
        <w:tc>
          <w:tcPr>
            <w:tcW w:w="780" w:type="dxa"/>
            <w:vAlign w:val="bottom"/>
            <w:tcBorders>
              <w:bottom w:val="single" w:sz="8" w:color="auto"/>
            </w:tcBorders>
            <w:shd w:val="clear" w:color="auto" w:fill="F4F4F4"/>
          </w:tcPr>
          <w:p>
            <w:pPr>
              <w:spacing w:after="0"/>
              <w:rPr>
                <w:sz w:val="18"/>
                <w:szCs w:val="18"/>
                <w:color w:val="auto"/>
              </w:rPr>
            </w:pPr>
          </w:p>
        </w:tc>
        <w:tc>
          <w:tcPr>
            <w:tcW w:w="640" w:type="dxa"/>
            <w:vAlign w:val="bottom"/>
            <w:tcBorders>
              <w:bottom w:val="single" w:sz="8" w:color="auto"/>
            </w:tcBorders>
            <w:shd w:val="clear" w:color="auto" w:fill="F4F4F4"/>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620" w:type="dxa"/>
            <w:vAlign w:val="bottom"/>
            <w:tcBorders>
              <w:bottom w:val="single" w:sz="8" w:color="auto"/>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Borders>
              <w:bottom w:val="single" w:sz="8" w:color="auto"/>
            </w:tcBorders>
            <w:shd w:val="clear" w:color="auto" w:fill="F4F4F4"/>
          </w:tcPr>
          <w:p>
            <w:pPr>
              <w:spacing w:after="0"/>
              <w:rPr>
                <w:sz w:val="18"/>
                <w:szCs w:val="18"/>
                <w:color w:val="auto"/>
              </w:rPr>
            </w:pPr>
          </w:p>
        </w:tc>
        <w:tc>
          <w:tcPr>
            <w:tcW w:w="640" w:type="dxa"/>
            <w:vAlign w:val="bottom"/>
            <w:tcBorders>
              <w:bottom w:val="single" w:sz="8" w:color="auto"/>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40" w:type="dxa"/>
            <w:vAlign w:val="bottom"/>
            <w:tcBorders>
              <w:bottom w:val="single" w:sz="8" w:color="auto"/>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4"/>
        </w:trPr>
        <w:tc>
          <w:tcPr>
            <w:tcW w:w="18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375.9</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8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306.5</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9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By platform model</w:t>
            </w: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83"/>
        </w:trPr>
        <w:tc>
          <w:tcPr>
            <w:tcW w:w="1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46"/>
        </w:trPr>
        <w:tc>
          <w:tcPr>
            <w:tcW w:w="192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6"/>
                <w:szCs w:val="16"/>
                <w:b w:val="1"/>
                <w:bCs w:val="1"/>
                <w:color w:val="FFFFFF"/>
              </w:rPr>
              <w:t>Platform model</w:t>
            </w:r>
          </w:p>
        </w:tc>
        <w:tc>
          <w:tcPr>
            <w:tcW w:w="800" w:type="dxa"/>
            <w:vAlign w:val="bottom"/>
            <w:shd w:val="clear" w:color="auto" w:fill="000000"/>
          </w:tcPr>
          <w:p>
            <w:pPr>
              <w:spacing w:after="0"/>
              <w:rPr>
                <w:sz w:val="21"/>
                <w:szCs w:val="21"/>
                <w:color w:val="auto"/>
              </w:rPr>
            </w:pPr>
          </w:p>
        </w:tc>
        <w:tc>
          <w:tcPr>
            <w:tcW w:w="62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2026</w:t>
            </w:r>
          </w:p>
        </w:tc>
        <w:tc>
          <w:tcPr>
            <w:tcW w:w="640" w:type="dxa"/>
            <w:vAlign w:val="bottom"/>
            <w:shd w:val="clear" w:color="auto" w:fill="000000"/>
          </w:tcPr>
          <w:p>
            <w:pPr>
              <w:spacing w:after="0"/>
              <w:rPr>
                <w:sz w:val="21"/>
                <w:szCs w:val="21"/>
                <w:color w:val="auto"/>
              </w:rPr>
            </w:pPr>
          </w:p>
        </w:tc>
        <w:tc>
          <w:tcPr>
            <w:tcW w:w="280" w:type="dxa"/>
            <w:vAlign w:val="bottom"/>
            <w:shd w:val="clear" w:color="auto" w:fill="000000"/>
          </w:tcPr>
          <w:p>
            <w:pPr>
              <w:spacing w:after="0"/>
              <w:rPr>
                <w:sz w:val="21"/>
                <w:szCs w:val="21"/>
                <w:color w:val="auto"/>
              </w:rPr>
            </w:pPr>
          </w:p>
        </w:tc>
        <w:tc>
          <w:tcPr>
            <w:tcW w:w="640" w:type="dxa"/>
            <w:vAlign w:val="bottom"/>
            <w:shd w:val="clear" w:color="auto" w:fill="000000"/>
          </w:tcPr>
          <w:p>
            <w:pPr>
              <w:jc w:val="right"/>
              <w:ind w:right="18"/>
              <w:spacing w:after="0"/>
              <w:rPr>
                <w:sz w:val="20"/>
                <w:szCs w:val="20"/>
                <w:color w:val="auto"/>
              </w:rPr>
            </w:pPr>
            <w:r>
              <w:rPr>
                <w:rFonts w:ascii="Times New Roman" w:cs="Times New Roman" w:eastAsia="Times New Roman" w:hAnsi="Times New Roman"/>
                <w:sz w:val="16"/>
                <w:szCs w:val="16"/>
                <w:b w:val="1"/>
                <w:bCs w:val="1"/>
                <w:color w:val="FFFFFF"/>
              </w:rPr>
              <w:t>2025</w:t>
            </w:r>
          </w:p>
        </w:tc>
        <w:tc>
          <w:tcPr>
            <w:tcW w:w="620" w:type="dxa"/>
            <w:vAlign w:val="bottom"/>
            <w:shd w:val="clear" w:color="auto" w:fill="000000"/>
          </w:tcPr>
          <w:p>
            <w:pPr>
              <w:spacing w:after="0"/>
              <w:rPr>
                <w:sz w:val="21"/>
                <w:szCs w:val="21"/>
                <w:color w:val="auto"/>
              </w:rPr>
            </w:pPr>
          </w:p>
        </w:tc>
      </w:tr>
      <w:tr>
        <w:trPr>
          <w:trHeight w:val="217"/>
        </w:trPr>
        <w:tc>
          <w:tcPr>
            <w:tcW w:w="1920" w:type="dxa"/>
            <w:vAlign w:val="bottom"/>
            <w:tcBorders>
              <w:bottom w:val="single" w:sz="8" w:color="DADADA"/>
            </w:tcBorders>
          </w:tcPr>
          <w:p>
            <w:pPr>
              <w:ind w:left="80"/>
              <w:spacing w:after="0"/>
              <w:rPr>
                <w:sz w:val="20"/>
                <w:szCs w:val="20"/>
                <w:color w:val="auto"/>
              </w:rPr>
            </w:pPr>
            <w:r>
              <w:rPr>
                <w:rFonts w:ascii="Times New Roman" w:cs="Times New Roman" w:eastAsia="Times New Roman" w:hAnsi="Times New Roman"/>
                <w:sz w:val="16"/>
                <w:szCs w:val="16"/>
                <w:color w:val="auto"/>
              </w:rPr>
              <w:t>Open Marketplace</w:t>
            </w:r>
          </w:p>
        </w:tc>
        <w:tc>
          <w:tcPr>
            <w:tcW w:w="800" w:type="dxa"/>
            <w:vAlign w:val="bottom"/>
            <w:tcBorders>
              <w:bottom w:val="single" w:sz="8" w:color="DADADA"/>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64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280" w:type="dxa"/>
            <w:vAlign w:val="bottom"/>
            <w:tcBorders>
              <w:bottom w:val="single" w:sz="8" w:color="DADADA"/>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DADADA"/>
            </w:tcBorders>
          </w:tcPr>
          <w:p>
            <w:pPr>
              <w:jc w:val="right"/>
              <w:ind w:right="18"/>
              <w:spacing w:after="0"/>
              <w:rPr>
                <w:sz w:val="20"/>
                <w:szCs w:val="20"/>
                <w:color w:val="auto"/>
              </w:rPr>
            </w:pPr>
            <w:r>
              <w:rPr>
                <w:rFonts w:ascii="Times New Roman" w:cs="Times New Roman" w:eastAsia="Times New Roman" w:hAnsi="Times New Roman"/>
                <w:sz w:val="16"/>
                <w:szCs w:val="16"/>
                <w:color w:val="auto"/>
              </w:rPr>
              <w:t>299.8</w:t>
            </w:r>
          </w:p>
        </w:tc>
        <w:tc>
          <w:tcPr>
            <w:tcW w:w="62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97.8%</w:t>
            </w:r>
          </w:p>
        </w:tc>
      </w:tr>
      <w:tr>
        <w:trPr>
          <w:trHeight w:val="213"/>
        </w:trPr>
        <w:tc>
          <w:tcPr>
            <w:tcW w:w="1920" w:type="dxa"/>
            <w:vAlign w:val="bottom"/>
            <w:tcBorders>
              <w:bottom w:val="single" w:sz="8" w:color="auto"/>
            </w:tcBorders>
            <w:shd w:val="clear" w:color="auto" w:fill="F4F4F4"/>
          </w:tcPr>
          <w:p>
            <w:pPr>
              <w:ind w:left="80"/>
              <w:spacing w:after="0"/>
              <w:rPr>
                <w:sz w:val="20"/>
                <w:szCs w:val="20"/>
                <w:color w:val="auto"/>
              </w:rPr>
            </w:pPr>
            <w:r>
              <w:rPr>
                <w:rFonts w:ascii="Times New Roman" w:cs="Times New Roman" w:eastAsia="Times New Roman" w:hAnsi="Times New Roman"/>
                <w:sz w:val="16"/>
                <w:szCs w:val="16"/>
                <w:color w:val="auto"/>
              </w:rPr>
              <w:t>Private Marketplace</w:t>
            </w:r>
          </w:p>
        </w:tc>
        <w:tc>
          <w:tcPr>
            <w:tcW w:w="800" w:type="dxa"/>
            <w:vAlign w:val="bottom"/>
            <w:tcBorders>
              <w:bottom w:val="single" w:sz="8" w:color="auto"/>
            </w:tcBorders>
            <w:shd w:val="clear" w:color="auto" w:fill="F4F4F4"/>
          </w:tcPr>
          <w:p>
            <w:pPr>
              <w:spacing w:after="0"/>
              <w:rPr>
                <w:sz w:val="18"/>
                <w:szCs w:val="18"/>
                <w:color w:val="auto"/>
              </w:rPr>
            </w:pPr>
          </w:p>
        </w:tc>
        <w:tc>
          <w:tcPr>
            <w:tcW w:w="620" w:type="dxa"/>
            <w:vAlign w:val="bottom"/>
            <w:tcBorders>
              <w:bottom w:val="single" w:sz="8" w:color="auto"/>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640" w:type="dxa"/>
            <w:vAlign w:val="bottom"/>
            <w:tcBorders>
              <w:bottom w:val="single" w:sz="8" w:color="auto"/>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tcBorders>
              <w:bottom w:val="single" w:sz="8" w:color="auto"/>
            </w:tcBorders>
            <w:shd w:val="clear" w:color="auto" w:fill="F4F4F4"/>
          </w:tcPr>
          <w:p>
            <w:pPr>
              <w:spacing w:after="0"/>
              <w:rPr>
                <w:sz w:val="18"/>
                <w:szCs w:val="18"/>
                <w:color w:val="auto"/>
              </w:rPr>
            </w:pPr>
          </w:p>
        </w:tc>
        <w:tc>
          <w:tcPr>
            <w:tcW w:w="640" w:type="dxa"/>
            <w:vAlign w:val="bottom"/>
            <w:tcBorders>
              <w:bottom w:val="single" w:sz="8" w:color="auto"/>
            </w:tcBorders>
            <w:shd w:val="clear" w:color="auto" w:fill="F4F4F4"/>
          </w:tcPr>
          <w:p>
            <w:pPr>
              <w:jc w:val="right"/>
              <w:ind w:right="18"/>
              <w:spacing w:after="0"/>
              <w:rPr>
                <w:sz w:val="20"/>
                <w:szCs w:val="20"/>
                <w:color w:val="auto"/>
              </w:rPr>
            </w:pPr>
            <w:r>
              <w:rPr>
                <w:rFonts w:ascii="Times New Roman" w:cs="Times New Roman" w:eastAsia="Times New Roman" w:hAnsi="Times New Roman"/>
                <w:sz w:val="16"/>
                <w:szCs w:val="16"/>
                <w:color w:val="auto"/>
              </w:rPr>
              <w:t>6.7</w:t>
            </w:r>
          </w:p>
        </w:tc>
        <w:tc>
          <w:tcPr>
            <w:tcW w:w="620" w:type="dxa"/>
            <w:vAlign w:val="bottom"/>
            <w:tcBorders>
              <w:bottom w:val="single" w:sz="8" w:color="auto"/>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4"/>
        </w:trPr>
        <w:tc>
          <w:tcPr>
            <w:tcW w:w="19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80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375.9</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8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306.5</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bl>
    <w:p>
      <w:pPr>
        <w:spacing w:after="0" w:line="666" w:lineRule="exact"/>
        <w:rPr>
          <w:sz w:val="20"/>
          <w:szCs w:val="20"/>
          <w:color w:val="auto"/>
        </w:rPr>
      </w:pPr>
    </w:p>
    <w:p>
      <w:pPr>
        <w:sectPr>
          <w:pgSz w:w="11900" w:h="16838" w:orient="portrait"/>
          <w:cols w:equalWidth="0" w:num="2">
            <w:col w:w="5480" w:space="240"/>
            <w:col w:w="5520"/>
          </w:cols>
          <w:pgMar w:left="320" w:top="3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860"/>
        <w:spacing w:after="0"/>
        <w:rPr>
          <w:sz w:val="20"/>
          <w:szCs w:val="20"/>
          <w:color w:val="auto"/>
        </w:rPr>
      </w:pPr>
      <w:r>
        <w:rPr>
          <w:rFonts w:ascii="Arial" w:cs="Arial" w:eastAsia="Arial" w:hAnsi="Arial"/>
          <w:sz w:val="16"/>
          <w:szCs w:val="16"/>
          <w:color w:val="F36D4D"/>
        </w:rPr>
        <w:t>4</w:t>
      </w:r>
    </w:p>
    <w:p>
      <w:pPr>
        <w:sectPr>
          <w:pgSz w:w="11900" w:h="16838" w:orient="portrait"/>
          <w:cols w:equalWidth="0" w:num="1">
            <w:col w:w="11240"/>
          </w:cols>
          <w:pgMar w:left="320" w:top="371" w:right="339" w:bottom="1440" w:gutter="0" w:footer="0" w:header="0"/>
          <w:type w:val="continuous"/>
        </w:sectPr>
      </w:pPr>
    </w:p>
    <w:bookmarkStart w:id="18" w:name="page19"/>
    <w:bookmarkEnd w:id="18"/>
    <w:p>
      <w:pPr>
        <w:ind w:left="62"/>
        <w:spacing w:after="0"/>
        <w:tabs>
          <w:tab w:leader="none" w:pos="1161" w:val="left"/>
        </w:tabs>
        <w:rPr>
          <w:sz w:val="20"/>
          <w:szCs w:val="20"/>
          <w:color w:val="auto"/>
        </w:rPr>
      </w:pPr>
      <w:r>
        <w:rPr>
          <w:rFonts w:ascii="Times New Roman" w:cs="Times New Roman" w:eastAsia="Times New Roman" w:hAnsi="Times New Roman"/>
          <w:sz w:val="15"/>
          <w:szCs w:val="15"/>
          <w:b w:val="1"/>
          <w:bCs w:val="1"/>
          <w:color w:val="F04A22"/>
        </w:rPr>
        <w:drawing>
          <wp:anchor simplePos="0" relativeHeight="251657728" behindDoc="1" locked="0" layoutInCell="0" allowOverlap="1">
            <wp:simplePos x="0" y="0"/>
            <wp:positionH relativeFrom="page">
              <wp:posOffset>201930</wp:posOffset>
            </wp:positionH>
            <wp:positionV relativeFrom="page">
              <wp:posOffset>104775</wp:posOffset>
            </wp:positionV>
            <wp:extent cx="7144385" cy="62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4385" cy="62230"/>
                    </a:xfrm>
                    <a:prstGeom prst="rect">
                      <a:avLst/>
                    </a:prstGeom>
                    <a:noFill/>
                  </pic:spPr>
                </pic:pic>
              </a:graphicData>
            </a:graphic>
          </wp:anchor>
        </w:drawing>
        <w:t>MediaAlpha</w:t>
      </w:r>
      <w:r>
        <w:rPr>
          <w:sz w:val="20"/>
          <w:szCs w:val="20"/>
          <w:color w:val="auto"/>
        </w:rPr>
        <w:tab/>
      </w:r>
      <w:r>
        <w:rPr>
          <w:rFonts w:ascii="Times New Roman" w:cs="Times New Roman" w:eastAsia="Times New Roman" w:hAnsi="Times New Roman"/>
          <w:sz w:val="15"/>
          <w:szCs w:val="15"/>
          <w:color w:val="6B6B6B"/>
        </w:rPr>
        <w:t>Investor Supplement ·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43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33"/>
          <w:szCs w:val="33"/>
          <w:b w:val="1"/>
          <w:bCs w:val="1"/>
          <w:color w:val="auto"/>
        </w:rPr>
        <w:t>Contribution</w:t>
      </w:r>
      <w:r>
        <w:rPr>
          <w:rFonts w:ascii="Times New Roman" w:cs="Times New Roman" w:eastAsia="Times New Roman" w:hAnsi="Times New Roman"/>
          <w:sz w:val="42"/>
          <w:szCs w:val="42"/>
          <w:b w:val="1"/>
          <w:bCs w:val="1"/>
          <w:color w:val="auto"/>
          <w:vertAlign w:val="superscript"/>
        </w:rPr>
        <w:t>1</w:t>
      </w:r>
      <w:r>
        <w:rPr>
          <w:rFonts w:ascii="Times New Roman" w:cs="Times New Roman" w:eastAsia="Times New Roman" w:hAnsi="Times New Roman"/>
          <w:sz w:val="33"/>
          <w:szCs w:val="33"/>
          <w:b w:val="1"/>
          <w:bCs w:val="1"/>
          <w:color w:val="auto"/>
        </w:rPr>
        <w:t xml:space="preserve"> &amp; Adjusted EBITDA</w:t>
      </w:r>
      <w:r>
        <w:rPr>
          <w:rFonts w:ascii="Times New Roman" w:cs="Times New Roman" w:eastAsia="Times New Roman" w:hAnsi="Times New Roman"/>
          <w:sz w:val="42"/>
          <w:szCs w:val="42"/>
          <w:b w:val="1"/>
          <w:bCs w:val="1"/>
          <w:color w:val="auto"/>
          <w:vertAlign w:val="superscript"/>
        </w:rPr>
        <w:t>2</w:t>
      </w:r>
      <w:r>
        <w:rPr>
          <w:rFonts w:ascii="Times New Roman" w:cs="Times New Roman" w:eastAsia="Times New Roman" w:hAnsi="Times New Roman"/>
          <w:sz w:val="33"/>
          <w:szCs w:val="33"/>
          <w:b w:val="1"/>
          <w:bCs w:val="1"/>
          <w:color w:val="auto"/>
        </w:rPr>
        <w:t xml:space="preserve"> Trend</w:t>
      </w:r>
    </w:p>
    <w:p>
      <w:pPr>
        <w:ind w:left="2"/>
        <w:spacing w:after="0"/>
        <w:rPr>
          <w:sz w:val="20"/>
          <w:szCs w:val="20"/>
          <w:color w:val="auto"/>
        </w:rPr>
      </w:pPr>
      <w:r>
        <w:rPr>
          <w:rFonts w:ascii="Times New Roman" w:cs="Times New Roman" w:eastAsia="Times New Roman" w:hAnsi="Times New Roman"/>
          <w:sz w:val="16"/>
          <w:szCs w:val="16"/>
          <w:color w:val="6B6B6B"/>
        </w:rPr>
        <w:t>$ in millions, unaudited — eight-quarter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132080</wp:posOffset>
            </wp:positionV>
            <wp:extent cx="5990590" cy="2246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9059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 w:type="dxa"/>
        <w:tblCellMar>
          <w:top w:w="0" w:type="dxa"/>
          <w:left w:w="0" w:type="dxa"/>
          <w:bottom w:w="0" w:type="dxa"/>
          <w:right w:w="0" w:type="dxa"/>
        </w:tblCellMar>
      </w:tblPr>
      <w:tr>
        <w:trPr>
          <w:trHeight w:val="221"/>
        </w:trPr>
        <w:tc>
          <w:tcPr>
            <w:tcW w:w="1740" w:type="dxa"/>
            <w:vAlign w:val="bottom"/>
            <w:shd w:val="clear" w:color="auto" w:fill="000000"/>
          </w:tcPr>
          <w:p>
            <w:pPr>
              <w:spacing w:after="0"/>
              <w:rPr>
                <w:sz w:val="19"/>
                <w:szCs w:val="19"/>
                <w:color w:val="auto"/>
              </w:rPr>
            </w:pPr>
          </w:p>
        </w:tc>
        <w:tc>
          <w:tcPr>
            <w:tcW w:w="440" w:type="dxa"/>
            <w:vAlign w:val="bottom"/>
            <w:shd w:val="clear" w:color="auto" w:fill="000000"/>
          </w:tcPr>
          <w:p>
            <w:pPr>
              <w:spacing w:after="0"/>
              <w:rPr>
                <w:sz w:val="19"/>
                <w:szCs w:val="19"/>
                <w:color w:val="auto"/>
              </w:rPr>
            </w:pPr>
          </w:p>
        </w:tc>
        <w:tc>
          <w:tcPr>
            <w:tcW w:w="760" w:type="dxa"/>
            <w:vAlign w:val="bottom"/>
            <w:shd w:val="clear" w:color="auto" w:fill="000000"/>
          </w:tcPr>
          <w:p>
            <w:pPr>
              <w:ind w:left="280"/>
              <w:spacing w:after="0"/>
              <w:rPr>
                <w:sz w:val="20"/>
                <w:szCs w:val="20"/>
                <w:color w:val="auto"/>
              </w:rPr>
            </w:pPr>
            <w:r>
              <w:rPr>
                <w:rFonts w:ascii="Times New Roman" w:cs="Times New Roman" w:eastAsia="Times New Roman" w:hAnsi="Times New Roman"/>
                <w:sz w:val="16"/>
                <w:szCs w:val="16"/>
                <w:b w:val="1"/>
                <w:bCs w:val="1"/>
                <w:color w:val="FFFFFF"/>
              </w:rPr>
              <w:t>Q4'24</w:t>
            </w:r>
          </w:p>
        </w:tc>
        <w:tc>
          <w:tcPr>
            <w:tcW w:w="380" w:type="dxa"/>
            <w:vAlign w:val="bottom"/>
            <w:shd w:val="clear" w:color="auto" w:fill="000000"/>
          </w:tcPr>
          <w:p>
            <w:pPr>
              <w:spacing w:after="0"/>
              <w:rPr>
                <w:sz w:val="19"/>
                <w:szCs w:val="19"/>
                <w:color w:val="auto"/>
              </w:rPr>
            </w:pPr>
          </w:p>
        </w:tc>
        <w:tc>
          <w:tcPr>
            <w:tcW w:w="780" w:type="dxa"/>
            <w:vAlign w:val="bottom"/>
            <w:shd w:val="clear" w:color="auto" w:fill="000000"/>
          </w:tcPr>
          <w:p>
            <w:pPr>
              <w:ind w:left="300"/>
              <w:spacing w:after="0"/>
              <w:rPr>
                <w:sz w:val="20"/>
                <w:szCs w:val="20"/>
                <w:color w:val="auto"/>
              </w:rPr>
            </w:pPr>
            <w:r>
              <w:rPr>
                <w:rFonts w:ascii="Times New Roman" w:cs="Times New Roman" w:eastAsia="Times New Roman" w:hAnsi="Times New Roman"/>
                <w:sz w:val="16"/>
                <w:szCs w:val="16"/>
                <w:b w:val="1"/>
                <w:bCs w:val="1"/>
                <w:color w:val="FFFFFF"/>
              </w:rPr>
              <w:t>Q1'25</w:t>
            </w:r>
          </w:p>
        </w:tc>
        <w:tc>
          <w:tcPr>
            <w:tcW w:w="380" w:type="dxa"/>
            <w:vAlign w:val="bottom"/>
            <w:shd w:val="clear" w:color="auto" w:fill="000000"/>
          </w:tcPr>
          <w:p>
            <w:pPr>
              <w:spacing w:after="0"/>
              <w:rPr>
                <w:sz w:val="19"/>
                <w:szCs w:val="19"/>
                <w:color w:val="auto"/>
              </w:rPr>
            </w:pPr>
          </w:p>
        </w:tc>
        <w:tc>
          <w:tcPr>
            <w:tcW w:w="780" w:type="dxa"/>
            <w:vAlign w:val="bottom"/>
            <w:shd w:val="clear" w:color="auto" w:fill="000000"/>
          </w:tcPr>
          <w:p>
            <w:pPr>
              <w:ind w:left="300"/>
              <w:spacing w:after="0"/>
              <w:rPr>
                <w:sz w:val="20"/>
                <w:szCs w:val="20"/>
                <w:color w:val="auto"/>
              </w:rPr>
            </w:pPr>
            <w:r>
              <w:rPr>
                <w:rFonts w:ascii="Times New Roman" w:cs="Times New Roman" w:eastAsia="Times New Roman" w:hAnsi="Times New Roman"/>
                <w:sz w:val="16"/>
                <w:szCs w:val="16"/>
                <w:b w:val="1"/>
                <w:bCs w:val="1"/>
                <w:color w:val="FFFFFF"/>
              </w:rPr>
              <w:t>Q2'25</w:t>
            </w:r>
          </w:p>
        </w:tc>
        <w:tc>
          <w:tcPr>
            <w:tcW w:w="400" w:type="dxa"/>
            <w:vAlign w:val="bottom"/>
            <w:shd w:val="clear" w:color="auto" w:fill="000000"/>
          </w:tcPr>
          <w:p>
            <w:pPr>
              <w:spacing w:after="0"/>
              <w:rPr>
                <w:sz w:val="19"/>
                <w:szCs w:val="19"/>
                <w:color w:val="auto"/>
              </w:rPr>
            </w:pPr>
          </w:p>
        </w:tc>
        <w:tc>
          <w:tcPr>
            <w:tcW w:w="7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Q3'25</w:t>
            </w:r>
          </w:p>
        </w:tc>
        <w:tc>
          <w:tcPr>
            <w:tcW w:w="380" w:type="dxa"/>
            <w:vAlign w:val="bottom"/>
            <w:shd w:val="clear" w:color="auto" w:fill="000000"/>
          </w:tcPr>
          <w:p>
            <w:pPr>
              <w:spacing w:after="0"/>
              <w:rPr>
                <w:sz w:val="19"/>
                <w:szCs w:val="19"/>
                <w:color w:val="auto"/>
              </w:rPr>
            </w:pPr>
          </w:p>
        </w:tc>
        <w:tc>
          <w:tcPr>
            <w:tcW w:w="780" w:type="dxa"/>
            <w:vAlign w:val="bottom"/>
            <w:shd w:val="clear" w:color="auto" w:fill="000000"/>
          </w:tcPr>
          <w:p>
            <w:pPr>
              <w:ind w:left="300"/>
              <w:spacing w:after="0"/>
              <w:rPr>
                <w:sz w:val="20"/>
                <w:szCs w:val="20"/>
                <w:color w:val="auto"/>
              </w:rPr>
            </w:pPr>
            <w:r>
              <w:rPr>
                <w:rFonts w:ascii="Times New Roman" w:cs="Times New Roman" w:eastAsia="Times New Roman" w:hAnsi="Times New Roman"/>
                <w:sz w:val="16"/>
                <w:szCs w:val="16"/>
                <w:b w:val="1"/>
                <w:bCs w:val="1"/>
                <w:color w:val="FFFFFF"/>
              </w:rPr>
              <w:t>Q4'25</w:t>
            </w:r>
          </w:p>
        </w:tc>
        <w:tc>
          <w:tcPr>
            <w:tcW w:w="380" w:type="dxa"/>
            <w:vAlign w:val="bottom"/>
            <w:shd w:val="clear" w:color="auto" w:fill="000000"/>
          </w:tcPr>
          <w:p>
            <w:pPr>
              <w:spacing w:after="0"/>
              <w:rPr>
                <w:sz w:val="19"/>
                <w:szCs w:val="19"/>
                <w:color w:val="auto"/>
              </w:rPr>
            </w:pPr>
          </w:p>
        </w:tc>
        <w:tc>
          <w:tcPr>
            <w:tcW w:w="780" w:type="dxa"/>
            <w:vAlign w:val="bottom"/>
            <w:shd w:val="clear" w:color="auto" w:fill="000000"/>
          </w:tcPr>
          <w:p>
            <w:pPr>
              <w:ind w:left="300"/>
              <w:spacing w:after="0"/>
              <w:rPr>
                <w:sz w:val="20"/>
                <w:szCs w:val="20"/>
                <w:color w:val="auto"/>
              </w:rPr>
            </w:pPr>
            <w:r>
              <w:rPr>
                <w:rFonts w:ascii="Times New Roman" w:cs="Times New Roman" w:eastAsia="Times New Roman" w:hAnsi="Times New Roman"/>
                <w:sz w:val="16"/>
                <w:szCs w:val="16"/>
                <w:b w:val="1"/>
                <w:bCs w:val="1"/>
                <w:color w:val="FFFFFF"/>
              </w:rPr>
              <w:t>Q1'26</w:t>
            </w:r>
          </w:p>
        </w:tc>
        <w:tc>
          <w:tcPr>
            <w:tcW w:w="400" w:type="dxa"/>
            <w:vAlign w:val="bottom"/>
            <w:shd w:val="clear" w:color="auto" w:fill="000000"/>
          </w:tcPr>
          <w:p>
            <w:pPr>
              <w:spacing w:after="0"/>
              <w:rPr>
                <w:sz w:val="19"/>
                <w:szCs w:val="19"/>
                <w:color w:val="auto"/>
              </w:rPr>
            </w:pPr>
          </w:p>
        </w:tc>
        <w:tc>
          <w:tcPr>
            <w:tcW w:w="7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Q2'26</w:t>
            </w:r>
          </w:p>
        </w:tc>
        <w:tc>
          <w:tcPr>
            <w:tcW w:w="380" w:type="dxa"/>
            <w:vAlign w:val="bottom"/>
            <w:shd w:val="clear" w:color="auto" w:fill="000000"/>
          </w:tcPr>
          <w:p>
            <w:pPr>
              <w:spacing w:after="0"/>
              <w:rPr>
                <w:sz w:val="19"/>
                <w:szCs w:val="19"/>
                <w:color w:val="auto"/>
              </w:rPr>
            </w:pPr>
          </w:p>
        </w:tc>
        <w:tc>
          <w:tcPr>
            <w:tcW w:w="780" w:type="dxa"/>
            <w:vAlign w:val="bottom"/>
            <w:shd w:val="clear" w:color="auto" w:fill="000000"/>
          </w:tcPr>
          <w:p>
            <w:pPr>
              <w:ind w:left="300"/>
              <w:spacing w:after="0"/>
              <w:rPr>
                <w:sz w:val="20"/>
                <w:szCs w:val="20"/>
                <w:color w:val="auto"/>
              </w:rPr>
            </w:pPr>
            <w:r>
              <w:rPr>
                <w:rFonts w:ascii="Times New Roman" w:cs="Times New Roman" w:eastAsia="Times New Roman" w:hAnsi="Times New Roman"/>
                <w:sz w:val="16"/>
                <w:szCs w:val="16"/>
                <w:b w:val="1"/>
                <w:bCs w:val="1"/>
                <w:color w:val="FFFFFF"/>
              </w:rPr>
              <w:t>Q3'26</w:t>
            </w:r>
          </w:p>
        </w:tc>
        <w:tc>
          <w:tcPr>
            <w:tcW w:w="0" w:type="dxa"/>
            <w:vAlign w:val="bottom"/>
          </w:tcPr>
          <w:p>
            <w:pPr>
              <w:spacing w:after="0"/>
              <w:rPr>
                <w:sz w:val="1"/>
                <w:szCs w:val="1"/>
                <w:color w:val="auto"/>
              </w:rPr>
            </w:pPr>
          </w:p>
        </w:tc>
      </w:tr>
      <w:tr>
        <w:trPr>
          <w:trHeight w:val="209"/>
        </w:trPr>
        <w:tc>
          <w:tcPr>
            <w:tcW w:w="1740" w:type="dxa"/>
            <w:vAlign w:val="bottom"/>
            <w:tcBorders>
              <w:bottom w:val="single" w:sz="8" w:color="DADADA"/>
            </w:tcBorders>
          </w:tcPr>
          <w:p>
            <w:pPr>
              <w:ind w:left="60"/>
              <w:spacing w:after="0"/>
              <w:rPr>
                <w:sz w:val="20"/>
                <w:szCs w:val="20"/>
                <w:color w:val="auto"/>
              </w:rPr>
            </w:pPr>
            <w:r>
              <w:rPr>
                <w:rFonts w:ascii="Times New Roman" w:cs="Times New Roman" w:eastAsia="Times New Roman" w:hAnsi="Times New Roman"/>
                <w:sz w:val="16"/>
                <w:szCs w:val="16"/>
                <w:color w:val="auto"/>
              </w:rPr>
              <w:t>Contribution ($M)</w:t>
            </w:r>
          </w:p>
        </w:tc>
        <w:tc>
          <w:tcPr>
            <w:tcW w:w="440" w:type="dxa"/>
            <w:vAlign w:val="bottom"/>
            <w:tcBorders>
              <w:bottom w:val="single" w:sz="8" w:color="DADADA"/>
            </w:tcBorders>
          </w:tcPr>
          <w:p>
            <w:pPr>
              <w:jc w:val="right"/>
              <w:ind w:right="21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DADADA"/>
            </w:tcBorders>
          </w:tcPr>
          <w:p>
            <w:pPr>
              <w:ind w:left="400"/>
              <w:spacing w:after="0"/>
              <w:rPr>
                <w:sz w:val="20"/>
                <w:szCs w:val="20"/>
                <w:color w:val="auto"/>
              </w:rPr>
            </w:pPr>
            <w:r>
              <w:rPr>
                <w:rFonts w:ascii="Times New Roman" w:cs="Times New Roman" w:eastAsia="Times New Roman" w:hAnsi="Times New Roman"/>
                <w:sz w:val="16"/>
                <w:szCs w:val="16"/>
                <w:color w:val="auto"/>
              </w:rPr>
              <w:t>52</w:t>
            </w:r>
          </w:p>
        </w:tc>
        <w:tc>
          <w:tcPr>
            <w:tcW w:w="38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ind w:left="420"/>
              <w:spacing w:after="0"/>
              <w:rPr>
                <w:sz w:val="20"/>
                <w:szCs w:val="20"/>
                <w:color w:val="auto"/>
              </w:rPr>
            </w:pPr>
            <w:r>
              <w:rPr>
                <w:rFonts w:ascii="Times New Roman" w:cs="Times New Roman" w:eastAsia="Times New Roman" w:hAnsi="Times New Roman"/>
                <w:sz w:val="16"/>
                <w:szCs w:val="16"/>
                <w:color w:val="auto"/>
              </w:rPr>
              <w:t>44</w:t>
            </w:r>
          </w:p>
        </w:tc>
        <w:tc>
          <w:tcPr>
            <w:tcW w:w="38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ind w:left="420"/>
              <w:spacing w:after="0"/>
              <w:rPr>
                <w:sz w:val="20"/>
                <w:szCs w:val="20"/>
                <w:color w:val="auto"/>
              </w:rPr>
            </w:pPr>
            <w:r>
              <w:rPr>
                <w:rFonts w:ascii="Times New Roman" w:cs="Times New Roman" w:eastAsia="Times New Roman" w:hAnsi="Times New Roman"/>
                <w:sz w:val="16"/>
                <w:szCs w:val="16"/>
                <w:color w:val="auto"/>
              </w:rPr>
              <w:t>40</w:t>
            </w:r>
          </w:p>
        </w:tc>
        <w:tc>
          <w:tcPr>
            <w:tcW w:w="400" w:type="dxa"/>
            <w:vAlign w:val="bottom"/>
            <w:tcBorders>
              <w:bottom w:val="single" w:sz="8" w:color="DADADA"/>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jc w:val="right"/>
              <w:ind w:right="118"/>
              <w:spacing w:after="0"/>
              <w:rPr>
                <w:sz w:val="20"/>
                <w:szCs w:val="20"/>
                <w:color w:val="auto"/>
              </w:rPr>
            </w:pPr>
            <w:r>
              <w:rPr>
                <w:rFonts w:ascii="Times New Roman" w:cs="Times New Roman" w:eastAsia="Times New Roman" w:hAnsi="Times New Roman"/>
                <w:sz w:val="16"/>
                <w:szCs w:val="16"/>
                <w:color w:val="auto"/>
              </w:rPr>
              <w:t>46</w:t>
            </w:r>
          </w:p>
        </w:tc>
        <w:tc>
          <w:tcPr>
            <w:tcW w:w="38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ind w:left="420"/>
              <w:spacing w:after="0"/>
              <w:rPr>
                <w:sz w:val="20"/>
                <w:szCs w:val="20"/>
                <w:color w:val="auto"/>
              </w:rPr>
            </w:pPr>
            <w:r>
              <w:rPr>
                <w:rFonts w:ascii="Times New Roman" w:cs="Times New Roman" w:eastAsia="Times New Roman" w:hAnsi="Times New Roman"/>
                <w:sz w:val="16"/>
                <w:szCs w:val="16"/>
                <w:color w:val="auto"/>
              </w:rPr>
              <w:t>47</w:t>
            </w:r>
          </w:p>
        </w:tc>
        <w:tc>
          <w:tcPr>
            <w:tcW w:w="38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ind w:left="420"/>
              <w:spacing w:after="0"/>
              <w:rPr>
                <w:sz w:val="20"/>
                <w:szCs w:val="20"/>
                <w:color w:val="auto"/>
              </w:rPr>
            </w:pPr>
            <w:r>
              <w:rPr>
                <w:rFonts w:ascii="Times New Roman" w:cs="Times New Roman" w:eastAsia="Times New Roman" w:hAnsi="Times New Roman"/>
                <w:sz w:val="16"/>
                <w:szCs w:val="16"/>
                <w:color w:val="auto"/>
              </w:rPr>
              <w:t>49</w:t>
            </w:r>
          </w:p>
        </w:tc>
        <w:tc>
          <w:tcPr>
            <w:tcW w:w="400" w:type="dxa"/>
            <w:vAlign w:val="bottom"/>
            <w:tcBorders>
              <w:bottom w:val="single" w:sz="8" w:color="DADADA"/>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jc w:val="right"/>
              <w:ind w:right="118"/>
              <w:spacing w:after="0"/>
              <w:rPr>
                <w:sz w:val="20"/>
                <w:szCs w:val="20"/>
                <w:color w:val="auto"/>
              </w:rPr>
            </w:pPr>
            <w:r>
              <w:rPr>
                <w:rFonts w:ascii="Times New Roman" w:cs="Times New Roman" w:eastAsia="Times New Roman" w:hAnsi="Times New Roman"/>
                <w:sz w:val="16"/>
                <w:szCs w:val="16"/>
                <w:color w:val="auto"/>
              </w:rPr>
              <w:t>47</w:t>
            </w:r>
          </w:p>
        </w:tc>
        <w:tc>
          <w:tcPr>
            <w:tcW w:w="38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ind w:left="42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1"/>
        </w:trPr>
        <w:tc>
          <w:tcPr>
            <w:tcW w:w="1740" w:type="dxa"/>
            <w:vAlign w:val="bottom"/>
            <w:tcBorders>
              <w:bottom w:val="single" w:sz="8" w:color="DADADA"/>
            </w:tcBorders>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Contribution margin</w:t>
            </w:r>
          </w:p>
        </w:tc>
        <w:tc>
          <w:tcPr>
            <w:tcW w:w="440" w:type="dxa"/>
            <w:vAlign w:val="bottom"/>
            <w:tcBorders>
              <w:bottom w:val="single" w:sz="8" w:color="DADADA"/>
            </w:tcBorders>
            <w:shd w:val="clear" w:color="auto" w:fill="F4F4F4"/>
          </w:tcPr>
          <w:p>
            <w:pPr>
              <w:spacing w:after="0"/>
              <w:rPr>
                <w:sz w:val="17"/>
                <w:szCs w:val="17"/>
                <w:color w:val="auto"/>
              </w:rPr>
            </w:pPr>
          </w:p>
        </w:tc>
        <w:tc>
          <w:tcPr>
            <w:tcW w:w="760" w:type="dxa"/>
            <w:vAlign w:val="bottom"/>
            <w:tcBorders>
              <w:bottom w:val="single" w:sz="8" w:color="DADADA"/>
            </w:tcBorders>
            <w:shd w:val="clear" w:color="auto" w:fill="F4F4F4"/>
          </w:tcPr>
          <w:p>
            <w:pPr>
              <w:ind w:left="400"/>
              <w:spacing w:after="0"/>
              <w:rPr>
                <w:sz w:val="20"/>
                <w:szCs w:val="20"/>
                <w:color w:val="auto"/>
              </w:rPr>
            </w:pPr>
            <w:r>
              <w:rPr>
                <w:rFonts w:ascii="Times New Roman" w:cs="Times New Roman" w:eastAsia="Times New Roman" w:hAnsi="Times New Roman"/>
                <w:sz w:val="16"/>
                <w:szCs w:val="16"/>
                <w:color w:val="auto"/>
              </w:rPr>
              <w:t>17 %</w:t>
            </w:r>
          </w:p>
        </w:tc>
        <w:tc>
          <w:tcPr>
            <w:tcW w:w="380" w:type="dxa"/>
            <w:vAlign w:val="bottom"/>
            <w:tcBorders>
              <w:bottom w:val="single" w:sz="8" w:color="DADADA"/>
            </w:tcBorders>
            <w:shd w:val="clear" w:color="auto" w:fill="F4F4F4"/>
          </w:tcPr>
          <w:p>
            <w:pPr>
              <w:spacing w:after="0"/>
              <w:rPr>
                <w:sz w:val="17"/>
                <w:szCs w:val="17"/>
                <w:color w:val="auto"/>
              </w:rPr>
            </w:pPr>
          </w:p>
        </w:tc>
        <w:tc>
          <w:tcPr>
            <w:tcW w:w="780" w:type="dxa"/>
            <w:vAlign w:val="bottom"/>
            <w:tcBorders>
              <w:bottom w:val="single" w:sz="8" w:color="DADADA"/>
            </w:tcBorders>
            <w:shd w:val="clear" w:color="auto" w:fill="F4F4F4"/>
          </w:tcPr>
          <w:p>
            <w:pPr>
              <w:ind w:left="420"/>
              <w:spacing w:after="0"/>
              <w:rPr>
                <w:sz w:val="20"/>
                <w:szCs w:val="20"/>
                <w:color w:val="auto"/>
              </w:rPr>
            </w:pPr>
            <w:r>
              <w:rPr>
                <w:rFonts w:ascii="Times New Roman" w:cs="Times New Roman" w:eastAsia="Times New Roman" w:hAnsi="Times New Roman"/>
                <w:sz w:val="16"/>
                <w:szCs w:val="16"/>
                <w:color w:val="auto"/>
              </w:rPr>
              <w:t>17 %</w:t>
            </w:r>
          </w:p>
        </w:tc>
        <w:tc>
          <w:tcPr>
            <w:tcW w:w="380" w:type="dxa"/>
            <w:vAlign w:val="bottom"/>
            <w:tcBorders>
              <w:bottom w:val="single" w:sz="8" w:color="DADADA"/>
            </w:tcBorders>
            <w:shd w:val="clear" w:color="auto" w:fill="F4F4F4"/>
          </w:tcPr>
          <w:p>
            <w:pPr>
              <w:spacing w:after="0"/>
              <w:rPr>
                <w:sz w:val="17"/>
                <w:szCs w:val="17"/>
                <w:color w:val="auto"/>
              </w:rPr>
            </w:pPr>
          </w:p>
        </w:tc>
        <w:tc>
          <w:tcPr>
            <w:tcW w:w="780" w:type="dxa"/>
            <w:vAlign w:val="bottom"/>
            <w:tcBorders>
              <w:bottom w:val="single" w:sz="8" w:color="DADADA"/>
            </w:tcBorders>
            <w:shd w:val="clear" w:color="auto" w:fill="F4F4F4"/>
          </w:tcPr>
          <w:p>
            <w:pPr>
              <w:ind w:left="420"/>
              <w:spacing w:after="0"/>
              <w:rPr>
                <w:sz w:val="20"/>
                <w:szCs w:val="20"/>
                <w:color w:val="auto"/>
              </w:rPr>
            </w:pPr>
            <w:r>
              <w:rPr>
                <w:rFonts w:ascii="Times New Roman" w:cs="Times New Roman" w:eastAsia="Times New Roman" w:hAnsi="Times New Roman"/>
                <w:sz w:val="16"/>
                <w:szCs w:val="16"/>
                <w:color w:val="auto"/>
              </w:rPr>
              <w:t>16 %</w:t>
            </w:r>
          </w:p>
        </w:tc>
        <w:tc>
          <w:tcPr>
            <w:tcW w:w="400" w:type="dxa"/>
            <w:vAlign w:val="bottom"/>
            <w:tcBorders>
              <w:bottom w:val="single" w:sz="8" w:color="DADADA"/>
            </w:tcBorders>
            <w:shd w:val="clear" w:color="auto" w:fill="F4F4F4"/>
          </w:tcPr>
          <w:p>
            <w:pPr>
              <w:spacing w:after="0"/>
              <w:rPr>
                <w:sz w:val="17"/>
                <w:szCs w:val="17"/>
                <w:color w:val="auto"/>
              </w:rPr>
            </w:pPr>
          </w:p>
        </w:tc>
        <w:tc>
          <w:tcPr>
            <w:tcW w:w="78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380" w:type="dxa"/>
            <w:vAlign w:val="bottom"/>
            <w:tcBorders>
              <w:bottom w:val="single" w:sz="8" w:color="DADADA"/>
            </w:tcBorders>
            <w:shd w:val="clear" w:color="auto" w:fill="F4F4F4"/>
          </w:tcPr>
          <w:p>
            <w:pPr>
              <w:spacing w:after="0"/>
              <w:rPr>
                <w:sz w:val="17"/>
                <w:szCs w:val="17"/>
                <w:color w:val="auto"/>
              </w:rPr>
            </w:pPr>
          </w:p>
        </w:tc>
        <w:tc>
          <w:tcPr>
            <w:tcW w:w="780" w:type="dxa"/>
            <w:vAlign w:val="bottom"/>
            <w:tcBorders>
              <w:bottom w:val="single" w:sz="8" w:color="DADADA"/>
            </w:tcBorders>
            <w:shd w:val="clear" w:color="auto" w:fill="F4F4F4"/>
          </w:tcPr>
          <w:p>
            <w:pPr>
              <w:ind w:left="420"/>
              <w:spacing w:after="0"/>
              <w:rPr>
                <w:sz w:val="20"/>
                <w:szCs w:val="20"/>
                <w:color w:val="auto"/>
              </w:rPr>
            </w:pPr>
            <w:r>
              <w:rPr>
                <w:rFonts w:ascii="Times New Roman" w:cs="Times New Roman" w:eastAsia="Times New Roman" w:hAnsi="Times New Roman"/>
                <w:sz w:val="16"/>
                <w:szCs w:val="16"/>
                <w:color w:val="auto"/>
              </w:rPr>
              <w:t>16 %</w:t>
            </w:r>
          </w:p>
        </w:tc>
        <w:tc>
          <w:tcPr>
            <w:tcW w:w="380" w:type="dxa"/>
            <w:vAlign w:val="bottom"/>
            <w:tcBorders>
              <w:bottom w:val="single" w:sz="8" w:color="DADADA"/>
            </w:tcBorders>
            <w:shd w:val="clear" w:color="auto" w:fill="F4F4F4"/>
          </w:tcPr>
          <w:p>
            <w:pPr>
              <w:spacing w:after="0"/>
              <w:rPr>
                <w:sz w:val="17"/>
                <w:szCs w:val="17"/>
                <w:color w:val="auto"/>
              </w:rPr>
            </w:pPr>
          </w:p>
        </w:tc>
        <w:tc>
          <w:tcPr>
            <w:tcW w:w="780" w:type="dxa"/>
            <w:vAlign w:val="bottom"/>
            <w:tcBorders>
              <w:bottom w:val="single" w:sz="8" w:color="DADADA"/>
            </w:tcBorders>
            <w:shd w:val="clear" w:color="auto" w:fill="F4F4F4"/>
          </w:tcPr>
          <w:p>
            <w:pPr>
              <w:ind w:left="420"/>
              <w:spacing w:after="0"/>
              <w:rPr>
                <w:sz w:val="20"/>
                <w:szCs w:val="20"/>
                <w:color w:val="auto"/>
              </w:rPr>
            </w:pPr>
            <w:r>
              <w:rPr>
                <w:rFonts w:ascii="Times New Roman" w:cs="Times New Roman" w:eastAsia="Times New Roman" w:hAnsi="Times New Roman"/>
                <w:sz w:val="16"/>
                <w:szCs w:val="16"/>
                <w:color w:val="auto"/>
              </w:rPr>
              <w:t>16 %</w:t>
            </w:r>
          </w:p>
        </w:tc>
        <w:tc>
          <w:tcPr>
            <w:tcW w:w="400" w:type="dxa"/>
            <w:vAlign w:val="bottom"/>
            <w:tcBorders>
              <w:bottom w:val="single" w:sz="8" w:color="DADADA"/>
            </w:tcBorders>
            <w:shd w:val="clear" w:color="auto" w:fill="F4F4F4"/>
          </w:tcPr>
          <w:p>
            <w:pPr>
              <w:spacing w:after="0"/>
              <w:rPr>
                <w:sz w:val="17"/>
                <w:szCs w:val="17"/>
                <w:color w:val="auto"/>
              </w:rPr>
            </w:pPr>
          </w:p>
        </w:tc>
        <w:tc>
          <w:tcPr>
            <w:tcW w:w="78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380" w:type="dxa"/>
            <w:vAlign w:val="bottom"/>
            <w:tcBorders>
              <w:bottom w:val="single" w:sz="8" w:color="DADADA"/>
            </w:tcBorders>
            <w:shd w:val="clear" w:color="auto" w:fill="F4F4F4"/>
          </w:tcPr>
          <w:p>
            <w:pPr>
              <w:spacing w:after="0"/>
              <w:rPr>
                <w:sz w:val="17"/>
                <w:szCs w:val="17"/>
                <w:color w:val="auto"/>
              </w:rPr>
            </w:pPr>
          </w:p>
        </w:tc>
        <w:tc>
          <w:tcPr>
            <w:tcW w:w="780" w:type="dxa"/>
            <w:vAlign w:val="bottom"/>
            <w:tcBorders>
              <w:bottom w:val="single" w:sz="8" w:color="DADADA"/>
            </w:tcBorders>
            <w:shd w:val="clear" w:color="auto" w:fill="F4F4F4"/>
          </w:tcPr>
          <w:p>
            <w:pPr>
              <w:ind w:left="420"/>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01"/>
        </w:trPr>
        <w:tc>
          <w:tcPr>
            <w:tcW w:w="1740" w:type="dxa"/>
            <w:vAlign w:val="bottom"/>
            <w:tcBorders>
              <w:bottom w:val="single" w:sz="8" w:color="DADADA"/>
            </w:tcBorders>
          </w:tcPr>
          <w:p>
            <w:pPr>
              <w:ind w:left="60"/>
              <w:spacing w:after="0"/>
              <w:rPr>
                <w:sz w:val="20"/>
                <w:szCs w:val="20"/>
                <w:color w:val="auto"/>
              </w:rPr>
            </w:pPr>
            <w:r>
              <w:rPr>
                <w:rFonts w:ascii="Times New Roman" w:cs="Times New Roman" w:eastAsia="Times New Roman" w:hAnsi="Times New Roman"/>
                <w:sz w:val="16"/>
                <w:szCs w:val="16"/>
                <w:color w:val="auto"/>
              </w:rPr>
              <w:t>Adjusted EBITDA ($M)</w:t>
            </w:r>
          </w:p>
        </w:tc>
        <w:tc>
          <w:tcPr>
            <w:tcW w:w="440" w:type="dxa"/>
            <w:vAlign w:val="bottom"/>
            <w:tcBorders>
              <w:bottom w:val="single" w:sz="8" w:color="DADADA"/>
            </w:tcBorders>
          </w:tcPr>
          <w:p>
            <w:pPr>
              <w:jc w:val="right"/>
              <w:ind w:right="21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DADADA"/>
            </w:tcBorders>
          </w:tcPr>
          <w:p>
            <w:pPr>
              <w:ind w:left="400"/>
              <w:spacing w:after="0"/>
              <w:rPr>
                <w:sz w:val="20"/>
                <w:szCs w:val="20"/>
                <w:color w:val="auto"/>
              </w:rPr>
            </w:pPr>
            <w:r>
              <w:rPr>
                <w:rFonts w:ascii="Times New Roman" w:cs="Times New Roman" w:eastAsia="Times New Roman" w:hAnsi="Times New Roman"/>
                <w:sz w:val="16"/>
                <w:szCs w:val="16"/>
                <w:color w:val="auto"/>
              </w:rPr>
              <w:t>37</w:t>
            </w:r>
          </w:p>
        </w:tc>
        <w:tc>
          <w:tcPr>
            <w:tcW w:w="38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ind w:left="420"/>
              <w:spacing w:after="0"/>
              <w:rPr>
                <w:sz w:val="20"/>
                <w:szCs w:val="20"/>
                <w:color w:val="auto"/>
              </w:rPr>
            </w:pPr>
            <w:r>
              <w:rPr>
                <w:rFonts w:ascii="Times New Roman" w:cs="Times New Roman" w:eastAsia="Times New Roman" w:hAnsi="Times New Roman"/>
                <w:sz w:val="16"/>
                <w:szCs w:val="16"/>
                <w:color w:val="auto"/>
              </w:rPr>
              <w:t>29</w:t>
            </w:r>
          </w:p>
        </w:tc>
        <w:tc>
          <w:tcPr>
            <w:tcW w:w="38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ind w:left="420"/>
              <w:spacing w:after="0"/>
              <w:rPr>
                <w:sz w:val="20"/>
                <w:szCs w:val="20"/>
                <w:color w:val="auto"/>
              </w:rPr>
            </w:pPr>
            <w:r>
              <w:rPr>
                <w:rFonts w:ascii="Times New Roman" w:cs="Times New Roman" w:eastAsia="Times New Roman" w:hAnsi="Times New Roman"/>
                <w:sz w:val="16"/>
                <w:szCs w:val="16"/>
                <w:color w:val="auto"/>
              </w:rPr>
              <w:t>25</w:t>
            </w:r>
          </w:p>
        </w:tc>
        <w:tc>
          <w:tcPr>
            <w:tcW w:w="400" w:type="dxa"/>
            <w:vAlign w:val="bottom"/>
            <w:tcBorders>
              <w:bottom w:val="single" w:sz="8" w:color="DADADA"/>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jc w:val="right"/>
              <w:ind w:right="118"/>
              <w:spacing w:after="0"/>
              <w:rPr>
                <w:sz w:val="20"/>
                <w:szCs w:val="20"/>
                <w:color w:val="auto"/>
              </w:rPr>
            </w:pPr>
            <w:r>
              <w:rPr>
                <w:rFonts w:ascii="Times New Roman" w:cs="Times New Roman" w:eastAsia="Times New Roman" w:hAnsi="Times New Roman"/>
                <w:sz w:val="16"/>
                <w:szCs w:val="16"/>
                <w:color w:val="auto"/>
              </w:rPr>
              <w:t>29</w:t>
            </w:r>
          </w:p>
        </w:tc>
        <w:tc>
          <w:tcPr>
            <w:tcW w:w="38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ind w:left="420"/>
              <w:spacing w:after="0"/>
              <w:rPr>
                <w:sz w:val="20"/>
                <w:szCs w:val="20"/>
                <w:color w:val="auto"/>
              </w:rPr>
            </w:pPr>
            <w:r>
              <w:rPr>
                <w:rFonts w:ascii="Times New Roman" w:cs="Times New Roman" w:eastAsia="Times New Roman" w:hAnsi="Times New Roman"/>
                <w:sz w:val="16"/>
                <w:szCs w:val="16"/>
                <w:color w:val="auto"/>
              </w:rPr>
              <w:t>31</w:t>
            </w:r>
          </w:p>
        </w:tc>
        <w:tc>
          <w:tcPr>
            <w:tcW w:w="38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ind w:left="420"/>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Borders>
              <w:bottom w:val="single" w:sz="8" w:color="DADADA"/>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jc w:val="right"/>
              <w:ind w:right="118"/>
              <w:spacing w:after="0"/>
              <w:rPr>
                <w:sz w:val="20"/>
                <w:szCs w:val="20"/>
                <w:color w:val="auto"/>
              </w:rPr>
            </w:pPr>
            <w:r>
              <w:rPr>
                <w:rFonts w:ascii="Times New Roman" w:cs="Times New Roman" w:eastAsia="Times New Roman" w:hAnsi="Times New Roman"/>
                <w:sz w:val="16"/>
                <w:szCs w:val="16"/>
                <w:color w:val="auto"/>
              </w:rPr>
              <w:t>29</w:t>
            </w:r>
          </w:p>
        </w:tc>
        <w:tc>
          <w:tcPr>
            <w:tcW w:w="380" w:type="dxa"/>
            <w:vAlign w:val="bottom"/>
            <w:tcBorders>
              <w:bottom w:val="single" w:sz="8" w:color="DADADA"/>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DADADA"/>
            </w:tcBorders>
          </w:tcPr>
          <w:p>
            <w:pPr>
              <w:ind w:left="4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52"/>
        </w:trPr>
        <w:tc>
          <w:tcPr>
            <w:tcW w:w="1740" w:type="dxa"/>
            <w:vAlign w:val="bottom"/>
            <w:shd w:val="clear" w:color="auto" w:fill="F4F4F4"/>
          </w:tcPr>
          <w:p>
            <w:pPr>
              <w:ind w:left="60"/>
              <w:spacing w:after="0" w:line="152" w:lineRule="exact"/>
              <w:rPr>
                <w:sz w:val="20"/>
                <w:szCs w:val="20"/>
                <w:color w:val="auto"/>
              </w:rPr>
            </w:pPr>
            <w:r>
              <w:rPr>
                <w:rFonts w:ascii="Times New Roman" w:cs="Times New Roman" w:eastAsia="Times New Roman" w:hAnsi="Times New Roman"/>
                <w:sz w:val="16"/>
                <w:szCs w:val="16"/>
                <w:color w:val="auto"/>
              </w:rPr>
              <w:t>Adjusted EBITDA</w:t>
            </w:r>
          </w:p>
        </w:tc>
        <w:tc>
          <w:tcPr>
            <w:tcW w:w="440" w:type="dxa"/>
            <w:vAlign w:val="bottom"/>
            <w:shd w:val="clear" w:color="auto" w:fill="F4F4F4"/>
          </w:tcPr>
          <w:p>
            <w:pPr>
              <w:spacing w:after="0"/>
              <w:rPr>
                <w:sz w:val="13"/>
                <w:szCs w:val="13"/>
                <w:color w:val="auto"/>
              </w:rPr>
            </w:pPr>
          </w:p>
        </w:tc>
        <w:tc>
          <w:tcPr>
            <w:tcW w:w="760" w:type="dxa"/>
            <w:vAlign w:val="bottom"/>
            <w:vMerge w:val="restart"/>
            <w:shd w:val="clear" w:color="auto" w:fill="F4F4F4"/>
          </w:tcPr>
          <w:p>
            <w:pPr>
              <w:ind w:left="400"/>
              <w:spacing w:after="0"/>
              <w:rPr>
                <w:sz w:val="20"/>
                <w:szCs w:val="20"/>
                <w:color w:val="auto"/>
              </w:rPr>
            </w:pPr>
            <w:r>
              <w:rPr>
                <w:rFonts w:ascii="Times New Roman" w:cs="Times New Roman" w:eastAsia="Times New Roman" w:hAnsi="Times New Roman"/>
                <w:sz w:val="16"/>
                <w:szCs w:val="16"/>
                <w:color w:val="auto"/>
              </w:rPr>
              <w:t>12 %</w:t>
            </w:r>
          </w:p>
        </w:tc>
        <w:tc>
          <w:tcPr>
            <w:tcW w:w="380" w:type="dxa"/>
            <w:vAlign w:val="bottom"/>
            <w:shd w:val="clear" w:color="auto" w:fill="F4F4F4"/>
          </w:tcPr>
          <w:p>
            <w:pPr>
              <w:spacing w:after="0"/>
              <w:rPr>
                <w:sz w:val="13"/>
                <w:szCs w:val="13"/>
                <w:color w:val="auto"/>
              </w:rPr>
            </w:pPr>
          </w:p>
        </w:tc>
        <w:tc>
          <w:tcPr>
            <w:tcW w:w="780" w:type="dxa"/>
            <w:vAlign w:val="bottom"/>
            <w:vMerge w:val="restart"/>
            <w:shd w:val="clear" w:color="auto" w:fill="F4F4F4"/>
          </w:tcPr>
          <w:p>
            <w:pPr>
              <w:ind w:left="420"/>
              <w:spacing w:after="0"/>
              <w:rPr>
                <w:sz w:val="20"/>
                <w:szCs w:val="20"/>
                <w:color w:val="auto"/>
              </w:rPr>
            </w:pPr>
            <w:r>
              <w:rPr>
                <w:rFonts w:ascii="Times New Roman" w:cs="Times New Roman" w:eastAsia="Times New Roman" w:hAnsi="Times New Roman"/>
                <w:sz w:val="16"/>
                <w:szCs w:val="16"/>
                <w:color w:val="auto"/>
              </w:rPr>
              <w:t>11 %</w:t>
            </w:r>
          </w:p>
        </w:tc>
        <w:tc>
          <w:tcPr>
            <w:tcW w:w="380" w:type="dxa"/>
            <w:vAlign w:val="bottom"/>
            <w:shd w:val="clear" w:color="auto" w:fill="F4F4F4"/>
          </w:tcPr>
          <w:p>
            <w:pPr>
              <w:spacing w:after="0"/>
              <w:rPr>
                <w:sz w:val="13"/>
                <w:szCs w:val="13"/>
                <w:color w:val="auto"/>
              </w:rPr>
            </w:pPr>
          </w:p>
        </w:tc>
        <w:tc>
          <w:tcPr>
            <w:tcW w:w="780" w:type="dxa"/>
            <w:vAlign w:val="bottom"/>
            <w:vMerge w:val="restart"/>
            <w:shd w:val="clear" w:color="auto" w:fill="F4F4F4"/>
          </w:tcPr>
          <w:p>
            <w:pPr>
              <w:ind w:left="420"/>
              <w:spacing w:after="0"/>
              <w:rPr>
                <w:sz w:val="20"/>
                <w:szCs w:val="20"/>
                <w:color w:val="auto"/>
              </w:rPr>
            </w:pPr>
            <w:r>
              <w:rPr>
                <w:rFonts w:ascii="Times New Roman" w:cs="Times New Roman" w:eastAsia="Times New Roman" w:hAnsi="Times New Roman"/>
                <w:sz w:val="16"/>
                <w:szCs w:val="16"/>
                <w:color w:val="auto"/>
              </w:rPr>
              <w:t>10 %</w:t>
            </w:r>
          </w:p>
        </w:tc>
        <w:tc>
          <w:tcPr>
            <w:tcW w:w="400" w:type="dxa"/>
            <w:vAlign w:val="bottom"/>
            <w:shd w:val="clear" w:color="auto" w:fill="F4F4F4"/>
          </w:tcPr>
          <w:p>
            <w:pPr>
              <w:spacing w:after="0"/>
              <w:rPr>
                <w:sz w:val="13"/>
                <w:szCs w:val="13"/>
                <w:color w:val="auto"/>
              </w:rPr>
            </w:pPr>
          </w:p>
        </w:tc>
        <w:tc>
          <w:tcPr>
            <w:tcW w:w="780" w:type="dxa"/>
            <w:vAlign w:val="bottom"/>
            <w:vMerge w:val="restart"/>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380" w:type="dxa"/>
            <w:vAlign w:val="bottom"/>
            <w:shd w:val="clear" w:color="auto" w:fill="F4F4F4"/>
          </w:tcPr>
          <w:p>
            <w:pPr>
              <w:spacing w:after="0"/>
              <w:rPr>
                <w:sz w:val="13"/>
                <w:szCs w:val="13"/>
                <w:color w:val="auto"/>
              </w:rPr>
            </w:pPr>
          </w:p>
        </w:tc>
        <w:tc>
          <w:tcPr>
            <w:tcW w:w="780" w:type="dxa"/>
            <w:vAlign w:val="bottom"/>
            <w:vMerge w:val="restart"/>
            <w:shd w:val="clear" w:color="auto" w:fill="F4F4F4"/>
          </w:tcPr>
          <w:p>
            <w:pPr>
              <w:ind w:left="420"/>
              <w:spacing w:after="0"/>
              <w:rPr>
                <w:sz w:val="20"/>
                <w:szCs w:val="20"/>
                <w:color w:val="auto"/>
              </w:rPr>
            </w:pPr>
            <w:r>
              <w:rPr>
                <w:rFonts w:ascii="Times New Roman" w:cs="Times New Roman" w:eastAsia="Times New Roman" w:hAnsi="Times New Roman"/>
                <w:sz w:val="16"/>
                <w:szCs w:val="16"/>
                <w:color w:val="auto"/>
              </w:rPr>
              <w:t>11 %</w:t>
            </w:r>
          </w:p>
        </w:tc>
        <w:tc>
          <w:tcPr>
            <w:tcW w:w="380" w:type="dxa"/>
            <w:vAlign w:val="bottom"/>
            <w:shd w:val="clear" w:color="auto" w:fill="F4F4F4"/>
          </w:tcPr>
          <w:p>
            <w:pPr>
              <w:spacing w:after="0"/>
              <w:rPr>
                <w:sz w:val="13"/>
                <w:szCs w:val="13"/>
                <w:color w:val="auto"/>
              </w:rPr>
            </w:pPr>
          </w:p>
        </w:tc>
        <w:tc>
          <w:tcPr>
            <w:tcW w:w="780" w:type="dxa"/>
            <w:vAlign w:val="bottom"/>
            <w:vMerge w:val="restart"/>
            <w:shd w:val="clear" w:color="auto" w:fill="F4F4F4"/>
          </w:tcPr>
          <w:p>
            <w:pPr>
              <w:ind w:left="420"/>
              <w:spacing w:after="0"/>
              <w:rPr>
                <w:sz w:val="20"/>
                <w:szCs w:val="20"/>
                <w:color w:val="auto"/>
              </w:rPr>
            </w:pPr>
            <w:r>
              <w:rPr>
                <w:rFonts w:ascii="Times New Roman" w:cs="Times New Roman" w:eastAsia="Times New Roman" w:hAnsi="Times New Roman"/>
                <w:sz w:val="16"/>
                <w:szCs w:val="16"/>
                <w:color w:val="auto"/>
              </w:rPr>
              <w:t>10 %</w:t>
            </w:r>
          </w:p>
        </w:tc>
        <w:tc>
          <w:tcPr>
            <w:tcW w:w="400" w:type="dxa"/>
            <w:vAlign w:val="bottom"/>
            <w:shd w:val="clear" w:color="auto" w:fill="F4F4F4"/>
          </w:tcPr>
          <w:p>
            <w:pPr>
              <w:spacing w:after="0"/>
              <w:rPr>
                <w:sz w:val="13"/>
                <w:szCs w:val="13"/>
                <w:color w:val="auto"/>
              </w:rPr>
            </w:pPr>
          </w:p>
        </w:tc>
        <w:tc>
          <w:tcPr>
            <w:tcW w:w="780" w:type="dxa"/>
            <w:vAlign w:val="bottom"/>
            <w:vMerge w:val="restart"/>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380" w:type="dxa"/>
            <w:vAlign w:val="bottom"/>
            <w:shd w:val="clear" w:color="auto" w:fill="F4F4F4"/>
          </w:tcPr>
          <w:p>
            <w:pPr>
              <w:spacing w:after="0"/>
              <w:rPr>
                <w:sz w:val="13"/>
                <w:szCs w:val="13"/>
                <w:color w:val="auto"/>
              </w:rPr>
            </w:pPr>
          </w:p>
        </w:tc>
        <w:tc>
          <w:tcPr>
            <w:tcW w:w="780" w:type="dxa"/>
            <w:vAlign w:val="bottom"/>
            <w:vMerge w:val="restart"/>
            <w:shd w:val="clear" w:color="auto" w:fill="F4F4F4"/>
          </w:tcPr>
          <w:p>
            <w:pPr>
              <w:ind w:left="420"/>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136"/>
        </w:trPr>
        <w:tc>
          <w:tcPr>
            <w:tcW w:w="1740" w:type="dxa"/>
            <w:vAlign w:val="bottom"/>
            <w:vMerge w:val="restart"/>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margin</w:t>
            </w:r>
          </w:p>
        </w:tc>
        <w:tc>
          <w:tcPr>
            <w:tcW w:w="440" w:type="dxa"/>
            <w:vAlign w:val="bottom"/>
            <w:shd w:val="clear" w:color="auto" w:fill="F4F4F4"/>
          </w:tcPr>
          <w:p>
            <w:pPr>
              <w:spacing w:after="0"/>
              <w:rPr>
                <w:sz w:val="11"/>
                <w:szCs w:val="11"/>
                <w:color w:val="auto"/>
              </w:rPr>
            </w:pPr>
          </w:p>
        </w:tc>
        <w:tc>
          <w:tcPr>
            <w:tcW w:w="760" w:type="dxa"/>
            <w:vAlign w:val="bottom"/>
            <w:vMerge w:val="continue"/>
            <w:shd w:val="clear" w:color="auto" w:fill="F4F4F4"/>
          </w:tcPr>
          <w:p>
            <w:pPr>
              <w:spacing w:after="0"/>
              <w:rPr>
                <w:sz w:val="11"/>
                <w:szCs w:val="11"/>
                <w:color w:val="auto"/>
              </w:rPr>
            </w:pPr>
          </w:p>
        </w:tc>
        <w:tc>
          <w:tcPr>
            <w:tcW w:w="380" w:type="dxa"/>
            <w:vAlign w:val="bottom"/>
            <w:shd w:val="clear" w:color="auto" w:fill="F4F4F4"/>
          </w:tcPr>
          <w:p>
            <w:pPr>
              <w:spacing w:after="0"/>
              <w:rPr>
                <w:sz w:val="11"/>
                <w:szCs w:val="11"/>
                <w:color w:val="auto"/>
              </w:rPr>
            </w:pPr>
          </w:p>
        </w:tc>
        <w:tc>
          <w:tcPr>
            <w:tcW w:w="780" w:type="dxa"/>
            <w:vAlign w:val="bottom"/>
            <w:vMerge w:val="continue"/>
            <w:shd w:val="clear" w:color="auto" w:fill="F4F4F4"/>
          </w:tcPr>
          <w:p>
            <w:pPr>
              <w:spacing w:after="0"/>
              <w:rPr>
                <w:sz w:val="11"/>
                <w:szCs w:val="11"/>
                <w:color w:val="auto"/>
              </w:rPr>
            </w:pPr>
          </w:p>
        </w:tc>
        <w:tc>
          <w:tcPr>
            <w:tcW w:w="380" w:type="dxa"/>
            <w:vAlign w:val="bottom"/>
            <w:shd w:val="clear" w:color="auto" w:fill="F4F4F4"/>
          </w:tcPr>
          <w:p>
            <w:pPr>
              <w:spacing w:after="0"/>
              <w:rPr>
                <w:sz w:val="11"/>
                <w:szCs w:val="11"/>
                <w:color w:val="auto"/>
              </w:rPr>
            </w:pPr>
          </w:p>
        </w:tc>
        <w:tc>
          <w:tcPr>
            <w:tcW w:w="780" w:type="dxa"/>
            <w:vAlign w:val="bottom"/>
            <w:vMerge w:val="continue"/>
            <w:shd w:val="clear" w:color="auto" w:fill="F4F4F4"/>
          </w:tcPr>
          <w:p>
            <w:pPr>
              <w:spacing w:after="0"/>
              <w:rPr>
                <w:sz w:val="11"/>
                <w:szCs w:val="11"/>
                <w:color w:val="auto"/>
              </w:rPr>
            </w:pPr>
          </w:p>
        </w:tc>
        <w:tc>
          <w:tcPr>
            <w:tcW w:w="400" w:type="dxa"/>
            <w:vAlign w:val="bottom"/>
            <w:shd w:val="clear" w:color="auto" w:fill="F4F4F4"/>
          </w:tcPr>
          <w:p>
            <w:pPr>
              <w:spacing w:after="0"/>
              <w:rPr>
                <w:sz w:val="11"/>
                <w:szCs w:val="11"/>
                <w:color w:val="auto"/>
              </w:rPr>
            </w:pPr>
          </w:p>
        </w:tc>
        <w:tc>
          <w:tcPr>
            <w:tcW w:w="780" w:type="dxa"/>
            <w:vAlign w:val="bottom"/>
            <w:vMerge w:val="continue"/>
            <w:shd w:val="clear" w:color="auto" w:fill="F4F4F4"/>
          </w:tcPr>
          <w:p>
            <w:pPr>
              <w:spacing w:after="0"/>
              <w:rPr>
                <w:sz w:val="11"/>
                <w:szCs w:val="11"/>
                <w:color w:val="auto"/>
              </w:rPr>
            </w:pPr>
          </w:p>
        </w:tc>
        <w:tc>
          <w:tcPr>
            <w:tcW w:w="380" w:type="dxa"/>
            <w:vAlign w:val="bottom"/>
            <w:shd w:val="clear" w:color="auto" w:fill="F4F4F4"/>
          </w:tcPr>
          <w:p>
            <w:pPr>
              <w:spacing w:after="0"/>
              <w:rPr>
                <w:sz w:val="11"/>
                <w:szCs w:val="11"/>
                <w:color w:val="auto"/>
              </w:rPr>
            </w:pPr>
          </w:p>
        </w:tc>
        <w:tc>
          <w:tcPr>
            <w:tcW w:w="780" w:type="dxa"/>
            <w:vAlign w:val="bottom"/>
            <w:vMerge w:val="continue"/>
            <w:shd w:val="clear" w:color="auto" w:fill="F4F4F4"/>
          </w:tcPr>
          <w:p>
            <w:pPr>
              <w:spacing w:after="0"/>
              <w:rPr>
                <w:sz w:val="11"/>
                <w:szCs w:val="11"/>
                <w:color w:val="auto"/>
              </w:rPr>
            </w:pPr>
          </w:p>
        </w:tc>
        <w:tc>
          <w:tcPr>
            <w:tcW w:w="380" w:type="dxa"/>
            <w:vAlign w:val="bottom"/>
            <w:shd w:val="clear" w:color="auto" w:fill="F4F4F4"/>
          </w:tcPr>
          <w:p>
            <w:pPr>
              <w:spacing w:after="0"/>
              <w:rPr>
                <w:sz w:val="11"/>
                <w:szCs w:val="11"/>
                <w:color w:val="auto"/>
              </w:rPr>
            </w:pPr>
          </w:p>
        </w:tc>
        <w:tc>
          <w:tcPr>
            <w:tcW w:w="780" w:type="dxa"/>
            <w:vAlign w:val="bottom"/>
            <w:vMerge w:val="continue"/>
            <w:shd w:val="clear" w:color="auto" w:fill="F4F4F4"/>
          </w:tcPr>
          <w:p>
            <w:pPr>
              <w:spacing w:after="0"/>
              <w:rPr>
                <w:sz w:val="11"/>
                <w:szCs w:val="11"/>
                <w:color w:val="auto"/>
              </w:rPr>
            </w:pPr>
          </w:p>
        </w:tc>
        <w:tc>
          <w:tcPr>
            <w:tcW w:w="400" w:type="dxa"/>
            <w:vAlign w:val="bottom"/>
            <w:shd w:val="clear" w:color="auto" w:fill="F4F4F4"/>
          </w:tcPr>
          <w:p>
            <w:pPr>
              <w:spacing w:after="0"/>
              <w:rPr>
                <w:sz w:val="11"/>
                <w:szCs w:val="11"/>
                <w:color w:val="auto"/>
              </w:rPr>
            </w:pPr>
          </w:p>
        </w:tc>
        <w:tc>
          <w:tcPr>
            <w:tcW w:w="780" w:type="dxa"/>
            <w:vAlign w:val="bottom"/>
            <w:vMerge w:val="continue"/>
            <w:shd w:val="clear" w:color="auto" w:fill="F4F4F4"/>
          </w:tcPr>
          <w:p>
            <w:pPr>
              <w:spacing w:after="0"/>
              <w:rPr>
                <w:sz w:val="11"/>
                <w:szCs w:val="11"/>
                <w:color w:val="auto"/>
              </w:rPr>
            </w:pPr>
          </w:p>
        </w:tc>
        <w:tc>
          <w:tcPr>
            <w:tcW w:w="380" w:type="dxa"/>
            <w:vAlign w:val="bottom"/>
            <w:shd w:val="clear" w:color="auto" w:fill="F4F4F4"/>
          </w:tcPr>
          <w:p>
            <w:pPr>
              <w:spacing w:after="0"/>
              <w:rPr>
                <w:sz w:val="11"/>
                <w:szCs w:val="11"/>
                <w:color w:val="auto"/>
              </w:rPr>
            </w:pPr>
          </w:p>
        </w:tc>
        <w:tc>
          <w:tcPr>
            <w:tcW w:w="780" w:type="dxa"/>
            <w:vAlign w:val="bottom"/>
            <w:vMerge w:val="continue"/>
            <w:shd w:val="clear" w:color="auto" w:fill="F4F4F4"/>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740" w:type="dxa"/>
            <w:vAlign w:val="bottom"/>
            <w:tcBorders>
              <w:bottom w:val="single" w:sz="8" w:color="DADADA"/>
            </w:tcBorders>
            <w:vMerge w:val="continue"/>
            <w:shd w:val="clear" w:color="auto" w:fill="F4F4F4"/>
          </w:tcPr>
          <w:p>
            <w:pPr>
              <w:spacing w:after="0"/>
              <w:rPr>
                <w:sz w:val="7"/>
                <w:szCs w:val="7"/>
                <w:color w:val="auto"/>
              </w:rPr>
            </w:pPr>
          </w:p>
        </w:tc>
        <w:tc>
          <w:tcPr>
            <w:tcW w:w="440" w:type="dxa"/>
            <w:vAlign w:val="bottom"/>
            <w:tcBorders>
              <w:bottom w:val="single" w:sz="8" w:color="DADADA"/>
            </w:tcBorders>
            <w:shd w:val="clear" w:color="auto" w:fill="F4F4F4"/>
          </w:tcPr>
          <w:p>
            <w:pPr>
              <w:spacing w:after="0"/>
              <w:rPr>
                <w:sz w:val="7"/>
                <w:szCs w:val="7"/>
                <w:color w:val="auto"/>
              </w:rPr>
            </w:pPr>
          </w:p>
        </w:tc>
        <w:tc>
          <w:tcPr>
            <w:tcW w:w="760" w:type="dxa"/>
            <w:vAlign w:val="bottom"/>
            <w:tcBorders>
              <w:bottom w:val="single" w:sz="8" w:color="DADADA"/>
            </w:tcBorders>
            <w:shd w:val="clear" w:color="auto" w:fill="F4F4F4"/>
          </w:tcPr>
          <w:p>
            <w:pPr>
              <w:spacing w:after="0"/>
              <w:rPr>
                <w:sz w:val="7"/>
                <w:szCs w:val="7"/>
                <w:color w:val="auto"/>
              </w:rPr>
            </w:pPr>
          </w:p>
        </w:tc>
        <w:tc>
          <w:tcPr>
            <w:tcW w:w="380" w:type="dxa"/>
            <w:vAlign w:val="bottom"/>
            <w:tcBorders>
              <w:bottom w:val="single" w:sz="8" w:color="DADADA"/>
            </w:tcBorders>
            <w:shd w:val="clear" w:color="auto" w:fill="F4F4F4"/>
          </w:tcPr>
          <w:p>
            <w:pPr>
              <w:spacing w:after="0"/>
              <w:rPr>
                <w:sz w:val="7"/>
                <w:szCs w:val="7"/>
                <w:color w:val="auto"/>
              </w:rPr>
            </w:pPr>
          </w:p>
        </w:tc>
        <w:tc>
          <w:tcPr>
            <w:tcW w:w="780" w:type="dxa"/>
            <w:vAlign w:val="bottom"/>
            <w:tcBorders>
              <w:bottom w:val="single" w:sz="8" w:color="DADADA"/>
            </w:tcBorders>
            <w:shd w:val="clear" w:color="auto" w:fill="F4F4F4"/>
          </w:tcPr>
          <w:p>
            <w:pPr>
              <w:spacing w:after="0"/>
              <w:rPr>
                <w:sz w:val="7"/>
                <w:szCs w:val="7"/>
                <w:color w:val="auto"/>
              </w:rPr>
            </w:pPr>
          </w:p>
        </w:tc>
        <w:tc>
          <w:tcPr>
            <w:tcW w:w="380" w:type="dxa"/>
            <w:vAlign w:val="bottom"/>
            <w:tcBorders>
              <w:bottom w:val="single" w:sz="8" w:color="DADADA"/>
            </w:tcBorders>
            <w:shd w:val="clear" w:color="auto" w:fill="F4F4F4"/>
          </w:tcPr>
          <w:p>
            <w:pPr>
              <w:spacing w:after="0"/>
              <w:rPr>
                <w:sz w:val="7"/>
                <w:szCs w:val="7"/>
                <w:color w:val="auto"/>
              </w:rPr>
            </w:pPr>
          </w:p>
        </w:tc>
        <w:tc>
          <w:tcPr>
            <w:tcW w:w="780" w:type="dxa"/>
            <w:vAlign w:val="bottom"/>
            <w:tcBorders>
              <w:bottom w:val="single" w:sz="8" w:color="DADADA"/>
            </w:tcBorders>
            <w:shd w:val="clear" w:color="auto" w:fill="F4F4F4"/>
          </w:tcPr>
          <w:p>
            <w:pPr>
              <w:spacing w:after="0"/>
              <w:rPr>
                <w:sz w:val="7"/>
                <w:szCs w:val="7"/>
                <w:color w:val="auto"/>
              </w:rPr>
            </w:pPr>
          </w:p>
        </w:tc>
        <w:tc>
          <w:tcPr>
            <w:tcW w:w="400" w:type="dxa"/>
            <w:vAlign w:val="bottom"/>
            <w:tcBorders>
              <w:bottom w:val="single" w:sz="8" w:color="DADADA"/>
            </w:tcBorders>
            <w:shd w:val="clear" w:color="auto" w:fill="F4F4F4"/>
          </w:tcPr>
          <w:p>
            <w:pPr>
              <w:spacing w:after="0"/>
              <w:rPr>
                <w:sz w:val="7"/>
                <w:szCs w:val="7"/>
                <w:color w:val="auto"/>
              </w:rPr>
            </w:pPr>
          </w:p>
        </w:tc>
        <w:tc>
          <w:tcPr>
            <w:tcW w:w="780" w:type="dxa"/>
            <w:vAlign w:val="bottom"/>
            <w:tcBorders>
              <w:bottom w:val="single" w:sz="8" w:color="DADADA"/>
            </w:tcBorders>
            <w:shd w:val="clear" w:color="auto" w:fill="F4F4F4"/>
          </w:tcPr>
          <w:p>
            <w:pPr>
              <w:spacing w:after="0"/>
              <w:rPr>
                <w:sz w:val="7"/>
                <w:szCs w:val="7"/>
                <w:color w:val="auto"/>
              </w:rPr>
            </w:pPr>
          </w:p>
        </w:tc>
        <w:tc>
          <w:tcPr>
            <w:tcW w:w="380" w:type="dxa"/>
            <w:vAlign w:val="bottom"/>
            <w:tcBorders>
              <w:bottom w:val="single" w:sz="8" w:color="DADADA"/>
            </w:tcBorders>
            <w:shd w:val="clear" w:color="auto" w:fill="F4F4F4"/>
          </w:tcPr>
          <w:p>
            <w:pPr>
              <w:spacing w:after="0"/>
              <w:rPr>
                <w:sz w:val="7"/>
                <w:szCs w:val="7"/>
                <w:color w:val="auto"/>
              </w:rPr>
            </w:pPr>
          </w:p>
        </w:tc>
        <w:tc>
          <w:tcPr>
            <w:tcW w:w="780" w:type="dxa"/>
            <w:vAlign w:val="bottom"/>
            <w:tcBorders>
              <w:bottom w:val="single" w:sz="8" w:color="DADADA"/>
            </w:tcBorders>
            <w:shd w:val="clear" w:color="auto" w:fill="F4F4F4"/>
          </w:tcPr>
          <w:p>
            <w:pPr>
              <w:spacing w:after="0"/>
              <w:rPr>
                <w:sz w:val="7"/>
                <w:szCs w:val="7"/>
                <w:color w:val="auto"/>
              </w:rPr>
            </w:pPr>
          </w:p>
        </w:tc>
        <w:tc>
          <w:tcPr>
            <w:tcW w:w="380" w:type="dxa"/>
            <w:vAlign w:val="bottom"/>
            <w:tcBorders>
              <w:bottom w:val="single" w:sz="8" w:color="DADADA"/>
            </w:tcBorders>
            <w:shd w:val="clear" w:color="auto" w:fill="F4F4F4"/>
          </w:tcPr>
          <w:p>
            <w:pPr>
              <w:spacing w:after="0"/>
              <w:rPr>
                <w:sz w:val="7"/>
                <w:szCs w:val="7"/>
                <w:color w:val="auto"/>
              </w:rPr>
            </w:pPr>
          </w:p>
        </w:tc>
        <w:tc>
          <w:tcPr>
            <w:tcW w:w="780" w:type="dxa"/>
            <w:vAlign w:val="bottom"/>
            <w:tcBorders>
              <w:bottom w:val="single" w:sz="8" w:color="DADADA"/>
            </w:tcBorders>
            <w:shd w:val="clear" w:color="auto" w:fill="F4F4F4"/>
          </w:tcPr>
          <w:p>
            <w:pPr>
              <w:spacing w:after="0"/>
              <w:rPr>
                <w:sz w:val="7"/>
                <w:szCs w:val="7"/>
                <w:color w:val="auto"/>
              </w:rPr>
            </w:pPr>
          </w:p>
        </w:tc>
        <w:tc>
          <w:tcPr>
            <w:tcW w:w="400" w:type="dxa"/>
            <w:vAlign w:val="bottom"/>
            <w:tcBorders>
              <w:bottom w:val="single" w:sz="8" w:color="DADADA"/>
            </w:tcBorders>
            <w:shd w:val="clear" w:color="auto" w:fill="F4F4F4"/>
          </w:tcPr>
          <w:p>
            <w:pPr>
              <w:spacing w:after="0"/>
              <w:rPr>
                <w:sz w:val="7"/>
                <w:szCs w:val="7"/>
                <w:color w:val="auto"/>
              </w:rPr>
            </w:pPr>
          </w:p>
        </w:tc>
        <w:tc>
          <w:tcPr>
            <w:tcW w:w="780" w:type="dxa"/>
            <w:vAlign w:val="bottom"/>
            <w:tcBorders>
              <w:bottom w:val="single" w:sz="8" w:color="DADADA"/>
            </w:tcBorders>
            <w:shd w:val="clear" w:color="auto" w:fill="F4F4F4"/>
          </w:tcPr>
          <w:p>
            <w:pPr>
              <w:spacing w:after="0"/>
              <w:rPr>
                <w:sz w:val="7"/>
                <w:szCs w:val="7"/>
                <w:color w:val="auto"/>
              </w:rPr>
            </w:pPr>
          </w:p>
        </w:tc>
        <w:tc>
          <w:tcPr>
            <w:tcW w:w="380" w:type="dxa"/>
            <w:vAlign w:val="bottom"/>
            <w:tcBorders>
              <w:bottom w:val="single" w:sz="8" w:color="DADADA"/>
            </w:tcBorders>
            <w:shd w:val="clear" w:color="auto" w:fill="F4F4F4"/>
          </w:tcPr>
          <w:p>
            <w:pPr>
              <w:spacing w:after="0"/>
              <w:rPr>
                <w:sz w:val="7"/>
                <w:szCs w:val="7"/>
                <w:color w:val="auto"/>
              </w:rPr>
            </w:pPr>
          </w:p>
        </w:tc>
        <w:tc>
          <w:tcPr>
            <w:tcW w:w="780" w:type="dxa"/>
            <w:vAlign w:val="bottom"/>
            <w:tcBorders>
              <w:bottom w:val="single" w:sz="8" w:color="DADADA"/>
            </w:tcBorders>
            <w:shd w:val="clear" w:color="auto" w:fill="F4F4F4"/>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740" w:type="dxa"/>
            <w:vAlign w:val="bottom"/>
          </w:tcPr>
          <w:p>
            <w:pPr>
              <w:ind w:left="60"/>
              <w:spacing w:after="0" w:line="155" w:lineRule="exact"/>
              <w:rPr>
                <w:sz w:val="20"/>
                <w:szCs w:val="20"/>
                <w:color w:val="auto"/>
              </w:rPr>
            </w:pPr>
            <w:r>
              <w:rPr>
                <w:rFonts w:ascii="Times New Roman" w:cs="Times New Roman" w:eastAsia="Times New Roman" w:hAnsi="Times New Roman"/>
                <w:sz w:val="16"/>
                <w:szCs w:val="16"/>
                <w:color w:val="auto"/>
              </w:rPr>
              <w:t>Adjusted EBITDA % of</w:t>
            </w:r>
          </w:p>
        </w:tc>
        <w:tc>
          <w:tcPr>
            <w:tcW w:w="440" w:type="dxa"/>
            <w:vAlign w:val="bottom"/>
          </w:tcPr>
          <w:p>
            <w:pPr>
              <w:spacing w:after="0"/>
              <w:rPr>
                <w:sz w:val="13"/>
                <w:szCs w:val="13"/>
                <w:color w:val="auto"/>
              </w:rPr>
            </w:pPr>
          </w:p>
        </w:tc>
        <w:tc>
          <w:tcPr>
            <w:tcW w:w="7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auto"/>
              </w:rPr>
              <w:t>71 %</w:t>
            </w:r>
          </w:p>
        </w:tc>
        <w:tc>
          <w:tcPr>
            <w:tcW w:w="380" w:type="dxa"/>
            <w:vAlign w:val="bottom"/>
          </w:tcPr>
          <w:p>
            <w:pPr>
              <w:spacing w:after="0"/>
              <w:rPr>
                <w:sz w:val="13"/>
                <w:szCs w:val="13"/>
                <w:color w:val="auto"/>
              </w:rPr>
            </w:pPr>
          </w:p>
        </w:tc>
        <w:tc>
          <w:tcPr>
            <w:tcW w:w="7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67 %</w:t>
            </w:r>
          </w:p>
        </w:tc>
        <w:tc>
          <w:tcPr>
            <w:tcW w:w="380" w:type="dxa"/>
            <w:vAlign w:val="bottom"/>
          </w:tcPr>
          <w:p>
            <w:pPr>
              <w:spacing w:after="0"/>
              <w:rPr>
                <w:sz w:val="13"/>
                <w:szCs w:val="13"/>
                <w:color w:val="auto"/>
              </w:rPr>
            </w:pPr>
          </w:p>
        </w:tc>
        <w:tc>
          <w:tcPr>
            <w:tcW w:w="7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62 %</w:t>
            </w:r>
          </w:p>
        </w:tc>
        <w:tc>
          <w:tcPr>
            <w:tcW w:w="4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380" w:type="dxa"/>
            <w:vAlign w:val="bottom"/>
          </w:tcPr>
          <w:p>
            <w:pPr>
              <w:spacing w:after="0"/>
              <w:rPr>
                <w:sz w:val="13"/>
                <w:szCs w:val="13"/>
                <w:color w:val="auto"/>
              </w:rPr>
            </w:pPr>
          </w:p>
        </w:tc>
        <w:tc>
          <w:tcPr>
            <w:tcW w:w="7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66 %</w:t>
            </w:r>
          </w:p>
        </w:tc>
        <w:tc>
          <w:tcPr>
            <w:tcW w:w="380" w:type="dxa"/>
            <w:vAlign w:val="bottom"/>
          </w:tcPr>
          <w:p>
            <w:pPr>
              <w:spacing w:after="0"/>
              <w:rPr>
                <w:sz w:val="13"/>
                <w:szCs w:val="13"/>
                <w:color w:val="auto"/>
              </w:rPr>
            </w:pPr>
          </w:p>
        </w:tc>
        <w:tc>
          <w:tcPr>
            <w:tcW w:w="7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64 %</w:t>
            </w:r>
          </w:p>
        </w:tc>
        <w:tc>
          <w:tcPr>
            <w:tcW w:w="4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380" w:type="dxa"/>
            <w:vAlign w:val="bottom"/>
          </w:tcPr>
          <w:p>
            <w:pPr>
              <w:spacing w:after="0"/>
              <w:rPr>
                <w:sz w:val="13"/>
                <w:szCs w:val="13"/>
                <w:color w:val="auto"/>
              </w:rPr>
            </w:pPr>
          </w:p>
        </w:tc>
        <w:tc>
          <w:tcPr>
            <w:tcW w:w="7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136"/>
        </w:trPr>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Contribution</w:t>
            </w:r>
          </w:p>
        </w:tc>
        <w:tc>
          <w:tcPr>
            <w:tcW w:w="4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740" w:type="dxa"/>
            <w:vAlign w:val="bottom"/>
            <w:tcBorders>
              <w:bottom w:val="single" w:sz="8" w:color="DADADA"/>
            </w:tcBorders>
            <w:vMerge w:val="continue"/>
          </w:tcPr>
          <w:p>
            <w:pPr>
              <w:spacing w:after="0"/>
              <w:rPr>
                <w:sz w:val="7"/>
                <w:szCs w:val="7"/>
                <w:color w:val="auto"/>
              </w:rPr>
            </w:pPr>
          </w:p>
        </w:tc>
        <w:tc>
          <w:tcPr>
            <w:tcW w:w="440" w:type="dxa"/>
            <w:vAlign w:val="bottom"/>
            <w:tcBorders>
              <w:bottom w:val="single" w:sz="8" w:color="DADADA"/>
            </w:tcBorders>
          </w:tcPr>
          <w:p>
            <w:pPr>
              <w:spacing w:after="0"/>
              <w:rPr>
                <w:sz w:val="7"/>
                <w:szCs w:val="7"/>
                <w:color w:val="auto"/>
              </w:rPr>
            </w:pPr>
          </w:p>
        </w:tc>
        <w:tc>
          <w:tcPr>
            <w:tcW w:w="760" w:type="dxa"/>
            <w:vAlign w:val="bottom"/>
            <w:tcBorders>
              <w:bottom w:val="single" w:sz="8" w:color="DADADA"/>
            </w:tcBorders>
          </w:tcPr>
          <w:p>
            <w:pPr>
              <w:spacing w:after="0"/>
              <w:rPr>
                <w:sz w:val="7"/>
                <w:szCs w:val="7"/>
                <w:color w:val="auto"/>
              </w:rPr>
            </w:pPr>
          </w:p>
        </w:tc>
        <w:tc>
          <w:tcPr>
            <w:tcW w:w="380" w:type="dxa"/>
            <w:vAlign w:val="bottom"/>
            <w:tcBorders>
              <w:bottom w:val="single" w:sz="8" w:color="DADADA"/>
            </w:tcBorders>
          </w:tcPr>
          <w:p>
            <w:pPr>
              <w:spacing w:after="0"/>
              <w:rPr>
                <w:sz w:val="7"/>
                <w:szCs w:val="7"/>
                <w:color w:val="auto"/>
              </w:rPr>
            </w:pPr>
          </w:p>
        </w:tc>
        <w:tc>
          <w:tcPr>
            <w:tcW w:w="780" w:type="dxa"/>
            <w:vAlign w:val="bottom"/>
            <w:tcBorders>
              <w:bottom w:val="single" w:sz="8" w:color="DADADA"/>
            </w:tcBorders>
          </w:tcPr>
          <w:p>
            <w:pPr>
              <w:spacing w:after="0"/>
              <w:rPr>
                <w:sz w:val="7"/>
                <w:szCs w:val="7"/>
                <w:color w:val="auto"/>
              </w:rPr>
            </w:pPr>
          </w:p>
        </w:tc>
        <w:tc>
          <w:tcPr>
            <w:tcW w:w="380" w:type="dxa"/>
            <w:vAlign w:val="bottom"/>
            <w:tcBorders>
              <w:bottom w:val="single" w:sz="8" w:color="DADADA"/>
            </w:tcBorders>
          </w:tcPr>
          <w:p>
            <w:pPr>
              <w:spacing w:after="0"/>
              <w:rPr>
                <w:sz w:val="7"/>
                <w:szCs w:val="7"/>
                <w:color w:val="auto"/>
              </w:rPr>
            </w:pPr>
          </w:p>
        </w:tc>
        <w:tc>
          <w:tcPr>
            <w:tcW w:w="780" w:type="dxa"/>
            <w:vAlign w:val="bottom"/>
            <w:tcBorders>
              <w:bottom w:val="single" w:sz="8" w:color="DADADA"/>
            </w:tcBorders>
          </w:tcPr>
          <w:p>
            <w:pPr>
              <w:spacing w:after="0"/>
              <w:rPr>
                <w:sz w:val="7"/>
                <w:szCs w:val="7"/>
                <w:color w:val="auto"/>
              </w:rPr>
            </w:pPr>
          </w:p>
        </w:tc>
        <w:tc>
          <w:tcPr>
            <w:tcW w:w="400" w:type="dxa"/>
            <w:vAlign w:val="bottom"/>
            <w:tcBorders>
              <w:bottom w:val="single" w:sz="8" w:color="DADADA"/>
            </w:tcBorders>
          </w:tcPr>
          <w:p>
            <w:pPr>
              <w:spacing w:after="0"/>
              <w:rPr>
                <w:sz w:val="7"/>
                <w:szCs w:val="7"/>
                <w:color w:val="auto"/>
              </w:rPr>
            </w:pPr>
          </w:p>
        </w:tc>
        <w:tc>
          <w:tcPr>
            <w:tcW w:w="780" w:type="dxa"/>
            <w:vAlign w:val="bottom"/>
            <w:tcBorders>
              <w:bottom w:val="single" w:sz="8" w:color="DADADA"/>
            </w:tcBorders>
          </w:tcPr>
          <w:p>
            <w:pPr>
              <w:spacing w:after="0"/>
              <w:rPr>
                <w:sz w:val="7"/>
                <w:szCs w:val="7"/>
                <w:color w:val="auto"/>
              </w:rPr>
            </w:pPr>
          </w:p>
        </w:tc>
        <w:tc>
          <w:tcPr>
            <w:tcW w:w="380" w:type="dxa"/>
            <w:vAlign w:val="bottom"/>
            <w:tcBorders>
              <w:bottom w:val="single" w:sz="8" w:color="DADADA"/>
            </w:tcBorders>
          </w:tcPr>
          <w:p>
            <w:pPr>
              <w:spacing w:after="0"/>
              <w:rPr>
                <w:sz w:val="7"/>
                <w:szCs w:val="7"/>
                <w:color w:val="auto"/>
              </w:rPr>
            </w:pPr>
          </w:p>
        </w:tc>
        <w:tc>
          <w:tcPr>
            <w:tcW w:w="780" w:type="dxa"/>
            <w:vAlign w:val="bottom"/>
            <w:tcBorders>
              <w:bottom w:val="single" w:sz="8" w:color="DADADA"/>
            </w:tcBorders>
          </w:tcPr>
          <w:p>
            <w:pPr>
              <w:spacing w:after="0"/>
              <w:rPr>
                <w:sz w:val="7"/>
                <w:szCs w:val="7"/>
                <w:color w:val="auto"/>
              </w:rPr>
            </w:pPr>
          </w:p>
        </w:tc>
        <w:tc>
          <w:tcPr>
            <w:tcW w:w="380" w:type="dxa"/>
            <w:vAlign w:val="bottom"/>
            <w:tcBorders>
              <w:bottom w:val="single" w:sz="8" w:color="DADADA"/>
            </w:tcBorders>
          </w:tcPr>
          <w:p>
            <w:pPr>
              <w:spacing w:after="0"/>
              <w:rPr>
                <w:sz w:val="7"/>
                <w:szCs w:val="7"/>
                <w:color w:val="auto"/>
              </w:rPr>
            </w:pPr>
          </w:p>
        </w:tc>
        <w:tc>
          <w:tcPr>
            <w:tcW w:w="780" w:type="dxa"/>
            <w:vAlign w:val="bottom"/>
            <w:tcBorders>
              <w:bottom w:val="single" w:sz="8" w:color="DADADA"/>
            </w:tcBorders>
          </w:tcPr>
          <w:p>
            <w:pPr>
              <w:spacing w:after="0"/>
              <w:rPr>
                <w:sz w:val="7"/>
                <w:szCs w:val="7"/>
                <w:color w:val="auto"/>
              </w:rPr>
            </w:pPr>
          </w:p>
        </w:tc>
        <w:tc>
          <w:tcPr>
            <w:tcW w:w="400" w:type="dxa"/>
            <w:vAlign w:val="bottom"/>
            <w:tcBorders>
              <w:bottom w:val="single" w:sz="8" w:color="DADADA"/>
            </w:tcBorders>
          </w:tcPr>
          <w:p>
            <w:pPr>
              <w:spacing w:after="0"/>
              <w:rPr>
                <w:sz w:val="7"/>
                <w:szCs w:val="7"/>
                <w:color w:val="auto"/>
              </w:rPr>
            </w:pPr>
          </w:p>
        </w:tc>
        <w:tc>
          <w:tcPr>
            <w:tcW w:w="780" w:type="dxa"/>
            <w:vAlign w:val="bottom"/>
            <w:tcBorders>
              <w:bottom w:val="single" w:sz="8" w:color="DADADA"/>
            </w:tcBorders>
          </w:tcPr>
          <w:p>
            <w:pPr>
              <w:spacing w:after="0"/>
              <w:rPr>
                <w:sz w:val="7"/>
                <w:szCs w:val="7"/>
                <w:color w:val="auto"/>
              </w:rPr>
            </w:pPr>
          </w:p>
        </w:tc>
        <w:tc>
          <w:tcPr>
            <w:tcW w:w="380" w:type="dxa"/>
            <w:vAlign w:val="bottom"/>
            <w:tcBorders>
              <w:bottom w:val="single" w:sz="8" w:color="DADADA"/>
            </w:tcBorders>
          </w:tcPr>
          <w:p>
            <w:pPr>
              <w:spacing w:after="0"/>
              <w:rPr>
                <w:sz w:val="7"/>
                <w:szCs w:val="7"/>
                <w:color w:val="auto"/>
              </w:rPr>
            </w:pPr>
          </w:p>
        </w:tc>
        <w:tc>
          <w:tcPr>
            <w:tcW w:w="780" w:type="dxa"/>
            <w:vAlign w:val="bottom"/>
            <w:tcBorders>
              <w:bottom w:val="single" w:sz="8" w:color="DADAD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2" w:hanging="82"/>
        <w:spacing w:after="0"/>
        <w:tabs>
          <w:tab w:leader="none" w:pos="82" w:val="left"/>
        </w:tabs>
        <w:numPr>
          <w:ilvl w:val="0"/>
          <w:numId w:val="9"/>
        </w:numPr>
        <w:rPr>
          <w:rFonts w:ascii="Times New Roman" w:cs="Times New Roman" w:eastAsia="Times New Roman" w:hAnsi="Times New Roman"/>
          <w:sz w:val="19"/>
          <w:szCs w:val="19"/>
          <w:color w:val="707070"/>
          <w:vertAlign w:val="superscript"/>
        </w:rPr>
      </w:pPr>
      <w:r>
        <w:rPr>
          <w:rFonts w:ascii="Times New Roman" w:cs="Times New Roman" w:eastAsia="Times New Roman" w:hAnsi="Times New Roman"/>
          <w:sz w:val="15"/>
          <w:szCs w:val="15"/>
          <w:color w:val="707070"/>
        </w:rPr>
        <w:t xml:space="preserve">See page </w:t>
      </w:r>
      <w:r>
        <w:rPr>
          <w:rFonts w:ascii="Times New Roman" w:cs="Times New Roman" w:eastAsia="Times New Roman" w:hAnsi="Times New Roman"/>
          <w:sz w:val="15"/>
          <w:szCs w:val="15"/>
          <w:u w:val="single" w:color="auto"/>
          <w:color w:val="707070"/>
        </w:rPr>
        <w:t>10</w:t>
      </w:r>
      <w:r>
        <w:rPr>
          <w:rFonts w:ascii="Times New Roman" w:cs="Times New Roman" w:eastAsia="Times New Roman" w:hAnsi="Times New Roman"/>
          <w:sz w:val="15"/>
          <w:szCs w:val="15"/>
          <w:color w:val="707070"/>
        </w:rPr>
        <w:t xml:space="preserve"> of this supplement for additional information regarding Contribution, a non-GAAP financial measure.</w:t>
      </w:r>
    </w:p>
    <w:p>
      <w:pPr>
        <w:ind w:left="82" w:hanging="82"/>
        <w:spacing w:after="0" w:line="202" w:lineRule="auto"/>
        <w:tabs>
          <w:tab w:leader="none" w:pos="82" w:val="left"/>
        </w:tabs>
        <w:numPr>
          <w:ilvl w:val="0"/>
          <w:numId w:val="10"/>
        </w:numPr>
        <w:rPr>
          <w:rFonts w:ascii="Times New Roman" w:cs="Times New Roman" w:eastAsia="Times New Roman" w:hAnsi="Times New Roman"/>
          <w:sz w:val="19"/>
          <w:szCs w:val="19"/>
          <w:color w:val="707070"/>
          <w:vertAlign w:val="superscript"/>
        </w:rPr>
      </w:pPr>
      <w:r>
        <w:rPr>
          <w:rFonts w:ascii="Times New Roman" w:cs="Times New Roman" w:eastAsia="Times New Roman" w:hAnsi="Times New Roman"/>
          <w:sz w:val="15"/>
          <w:szCs w:val="15"/>
          <w:color w:val="707070"/>
        </w:rPr>
        <w:t xml:space="preserve">See page </w:t>
      </w:r>
      <w:r>
        <w:rPr>
          <w:rFonts w:ascii="Times New Roman" w:cs="Times New Roman" w:eastAsia="Times New Roman" w:hAnsi="Times New Roman"/>
          <w:sz w:val="15"/>
          <w:szCs w:val="15"/>
          <w:u w:val="single" w:color="auto"/>
          <w:color w:val="707070"/>
        </w:rPr>
        <w:t>11</w:t>
      </w:r>
      <w:r>
        <w:rPr>
          <w:rFonts w:ascii="Times New Roman" w:cs="Times New Roman" w:eastAsia="Times New Roman" w:hAnsi="Times New Roman"/>
          <w:sz w:val="15"/>
          <w:szCs w:val="15"/>
          <w:color w:val="707070"/>
        </w:rPr>
        <w:t xml:space="preserve"> of this supplement for additional information regarding Adjusted EBITDA, a non-GAAP financial measure.</w:t>
      </w:r>
    </w:p>
    <w:p>
      <w:pPr>
        <w:spacing w:after="0" w:line="200" w:lineRule="exact"/>
        <w:rPr>
          <w:sz w:val="20"/>
          <w:szCs w:val="20"/>
          <w:color w:val="auto"/>
        </w:rPr>
      </w:pPr>
    </w:p>
    <w:p>
      <w:pPr>
        <w:spacing w:after="0" w:line="317"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F36D4D"/>
        </w:rPr>
        <w:t>5</w:t>
      </w:r>
    </w:p>
    <w:p>
      <w:pPr>
        <w:sectPr>
          <w:pgSz w:w="11900" w:h="16838" w:orient="portrait"/>
          <w:cols w:equalWidth="0" w:num="1">
            <w:col w:w="11102"/>
          </w:cols>
          <w:pgMar w:left="318" w:top="371" w:right="479" w:bottom="1440" w:gutter="0" w:footer="0" w:header="0"/>
        </w:sectPr>
      </w:pPr>
    </w:p>
    <w:bookmarkStart w:id="19" w:name="page20"/>
    <w:bookmarkEnd w:id="19"/>
    <w:p>
      <w:pPr>
        <w:ind w:left="60"/>
        <w:spacing w:after="0"/>
        <w:tabs>
          <w:tab w:leader="none" w:pos="1160" w:val="left"/>
        </w:tabs>
        <w:rPr>
          <w:sz w:val="20"/>
          <w:szCs w:val="20"/>
          <w:color w:val="auto"/>
        </w:rPr>
      </w:pPr>
      <w:r>
        <w:rPr>
          <w:rFonts w:ascii="Times New Roman" w:cs="Times New Roman" w:eastAsia="Times New Roman" w:hAnsi="Times New Roman"/>
          <w:sz w:val="15"/>
          <w:szCs w:val="15"/>
          <w:b w:val="1"/>
          <w:bCs w:val="1"/>
          <w:color w:val="F04A22"/>
        </w:rPr>
        <w:drawing>
          <wp:anchor simplePos="0" relativeHeight="251657728" behindDoc="1" locked="0" layoutInCell="0" allowOverlap="1">
            <wp:simplePos x="0" y="0"/>
            <wp:positionH relativeFrom="page">
              <wp:posOffset>201930</wp:posOffset>
            </wp:positionH>
            <wp:positionV relativeFrom="page">
              <wp:posOffset>104775</wp:posOffset>
            </wp:positionV>
            <wp:extent cx="7144385" cy="62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4385" cy="62230"/>
                    </a:xfrm>
                    <a:prstGeom prst="rect">
                      <a:avLst/>
                    </a:prstGeom>
                    <a:noFill/>
                  </pic:spPr>
                </pic:pic>
              </a:graphicData>
            </a:graphic>
          </wp:anchor>
        </w:drawing>
        <w:t>MediaAlpha</w:t>
      </w:r>
      <w:r>
        <w:rPr>
          <w:sz w:val="20"/>
          <w:szCs w:val="20"/>
          <w:color w:val="auto"/>
        </w:rPr>
        <w:tab/>
      </w:r>
      <w:r>
        <w:rPr>
          <w:rFonts w:ascii="Times New Roman" w:cs="Times New Roman" w:eastAsia="Times New Roman" w:hAnsi="Times New Roman"/>
          <w:sz w:val="15"/>
          <w:szCs w:val="15"/>
          <w:color w:val="6B6B6B"/>
        </w:rPr>
        <w:t>Investor Supplement ·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71443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b w:val="1"/>
          <w:bCs w:val="1"/>
          <w:color w:val="auto"/>
        </w:rPr>
        <w:t>Share Repurchase Overview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6B6B6B"/>
        </w:rPr>
        <w:t>Since Q3 2025 through October 26, 2026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2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11"/>
                <w:szCs w:val="11"/>
                <w:color w:val="6B6B6B"/>
              </w:rPr>
              <w:t>CUMULATIVE SHARE REPURCHASES</w:t>
            </w:r>
          </w:p>
        </w:tc>
        <w:tc>
          <w:tcPr>
            <w:tcW w:w="180" w:type="dxa"/>
            <w:vAlign w:val="bottom"/>
          </w:tcPr>
          <w:p>
            <w:pPr>
              <w:spacing w:after="0"/>
              <w:rPr>
                <w:sz w:val="14"/>
                <w:szCs w:val="14"/>
                <w:color w:val="auto"/>
              </w:rPr>
            </w:pPr>
          </w:p>
        </w:tc>
        <w:tc>
          <w:tcPr>
            <w:tcW w:w="364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11"/>
                <w:szCs w:val="11"/>
                <w:color w:val="6B6B6B"/>
              </w:rPr>
              <w:t>SHARES REPURCHASED</w:t>
            </w:r>
          </w:p>
        </w:tc>
        <w:tc>
          <w:tcPr>
            <w:tcW w:w="180" w:type="dxa"/>
            <w:vAlign w:val="bottom"/>
          </w:tcPr>
          <w:p>
            <w:pPr>
              <w:spacing w:after="0"/>
              <w:rPr>
                <w:sz w:val="14"/>
                <w:szCs w:val="14"/>
                <w:color w:val="auto"/>
              </w:rPr>
            </w:pPr>
          </w:p>
        </w:tc>
        <w:tc>
          <w:tcPr>
            <w:tcW w:w="362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11"/>
                <w:szCs w:val="11"/>
                <w:color w:val="6B6B6B"/>
              </w:rPr>
              <w:t>AVERAGE PRICE / SHARE</w:t>
            </w:r>
          </w:p>
        </w:tc>
      </w:tr>
      <w:tr>
        <w:trPr>
          <w:trHeight w:val="299"/>
        </w:trPr>
        <w:tc>
          <w:tcPr>
            <w:tcW w:w="362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20"/>
                <w:szCs w:val="20"/>
                <w:b w:val="1"/>
                <w:bCs w:val="1"/>
                <w:color w:val="auto"/>
              </w:rPr>
              <w:t>$115M</w:t>
            </w:r>
          </w:p>
        </w:tc>
        <w:tc>
          <w:tcPr>
            <w:tcW w:w="180" w:type="dxa"/>
            <w:vAlign w:val="bottom"/>
          </w:tcPr>
          <w:p>
            <w:pPr>
              <w:spacing w:after="0"/>
              <w:rPr>
                <w:sz w:val="24"/>
                <w:szCs w:val="24"/>
                <w:color w:val="auto"/>
              </w:rPr>
            </w:pPr>
          </w:p>
        </w:tc>
        <w:tc>
          <w:tcPr>
            <w:tcW w:w="364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20"/>
                <w:szCs w:val="20"/>
                <w:b w:val="1"/>
                <w:bCs w:val="1"/>
                <w:color w:val="auto"/>
              </w:rPr>
              <w:t>11.2M (16.5%)</w:t>
            </w:r>
          </w:p>
        </w:tc>
        <w:tc>
          <w:tcPr>
            <w:tcW w:w="180" w:type="dxa"/>
            <w:vAlign w:val="bottom"/>
          </w:tcPr>
          <w:p>
            <w:pPr>
              <w:spacing w:after="0"/>
              <w:rPr>
                <w:sz w:val="24"/>
                <w:szCs w:val="24"/>
                <w:color w:val="auto"/>
              </w:rPr>
            </w:pPr>
          </w:p>
        </w:tc>
        <w:tc>
          <w:tcPr>
            <w:tcW w:w="362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20"/>
                <w:szCs w:val="20"/>
                <w:b w:val="1"/>
                <w:bCs w:val="1"/>
                <w:color w:val="auto"/>
              </w:rPr>
              <w:t>$10.30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311785</wp:posOffset>
            </wp:positionV>
            <wp:extent cx="7202170" cy="857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17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0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6"/>
                <w:szCs w:val="16"/>
                <w:b w:val="1"/>
                <w:bCs w:val="1"/>
                <w:color w:val="FFFFFF"/>
              </w:rPr>
              <w:t>Period</w:t>
            </w:r>
          </w:p>
        </w:tc>
        <w:tc>
          <w:tcPr>
            <w:tcW w:w="1580" w:type="dxa"/>
            <w:vAlign w:val="bottom"/>
            <w:shd w:val="clear" w:color="auto" w:fill="000000"/>
          </w:tcPr>
          <w:p>
            <w:pPr>
              <w:spacing w:after="0"/>
              <w:rPr>
                <w:sz w:val="19"/>
                <w:szCs w:val="19"/>
                <w:color w:val="auto"/>
              </w:rPr>
            </w:pPr>
          </w:p>
        </w:tc>
        <w:tc>
          <w:tcPr>
            <w:tcW w:w="16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Amount</w:t>
            </w:r>
          </w:p>
        </w:tc>
        <w:tc>
          <w:tcPr>
            <w:tcW w:w="3700" w:type="dxa"/>
            <w:vAlign w:val="bottom"/>
            <w:shd w:val="clear" w:color="auto" w:fill="000000"/>
          </w:tcPr>
          <w:p>
            <w:pPr>
              <w:jc w:val="right"/>
              <w:ind w:right="778"/>
              <w:spacing w:after="0"/>
              <w:rPr>
                <w:sz w:val="20"/>
                <w:szCs w:val="20"/>
                <w:color w:val="auto"/>
              </w:rPr>
            </w:pPr>
            <w:r>
              <w:rPr>
                <w:rFonts w:ascii="Times New Roman" w:cs="Times New Roman" w:eastAsia="Times New Roman" w:hAnsi="Times New Roman"/>
                <w:sz w:val="16"/>
                <w:szCs w:val="16"/>
                <w:b w:val="1"/>
                <w:bCs w:val="1"/>
                <w:color w:val="FFFFFF"/>
              </w:rPr>
              <w:t>% of shares outstanding</w:t>
            </w:r>
          </w:p>
        </w:tc>
        <w:tc>
          <w:tcPr>
            <w:tcW w:w="19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Avg. price / share</w:t>
            </w:r>
          </w:p>
        </w:tc>
      </w:tr>
      <w:tr>
        <w:trPr>
          <w:trHeight w:val="209"/>
        </w:trPr>
        <w:tc>
          <w:tcPr>
            <w:tcW w:w="2300" w:type="dxa"/>
            <w:vAlign w:val="bottom"/>
            <w:tcBorders>
              <w:bottom w:val="single" w:sz="8" w:color="DADADA"/>
            </w:tcBorders>
          </w:tcPr>
          <w:p>
            <w:pPr>
              <w:ind w:left="60"/>
              <w:spacing w:after="0"/>
              <w:rPr>
                <w:sz w:val="20"/>
                <w:szCs w:val="20"/>
                <w:color w:val="auto"/>
              </w:rPr>
            </w:pPr>
            <w:r>
              <w:rPr>
                <w:rFonts w:ascii="Times New Roman" w:cs="Times New Roman" w:eastAsia="Times New Roman" w:hAnsi="Times New Roman"/>
                <w:sz w:val="16"/>
                <w:szCs w:val="16"/>
                <w:color w:val="auto"/>
              </w:rPr>
              <w:t>Q3'25</w:t>
            </w:r>
          </w:p>
        </w:tc>
        <w:tc>
          <w:tcPr>
            <w:tcW w:w="1580" w:type="dxa"/>
            <w:vAlign w:val="bottom"/>
            <w:tcBorders>
              <w:bottom w:val="single" w:sz="8" w:color="DADADA"/>
            </w:tcBorders>
          </w:tcPr>
          <w:p>
            <w:pPr>
              <w:jc w:val="right"/>
              <w:ind w:right="91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33M</w:t>
            </w:r>
          </w:p>
        </w:tc>
        <w:tc>
          <w:tcPr>
            <w:tcW w:w="3700" w:type="dxa"/>
            <w:vAlign w:val="bottom"/>
            <w:tcBorders>
              <w:bottom w:val="single" w:sz="8" w:color="DADADA"/>
            </w:tcBorders>
          </w:tcPr>
          <w:p>
            <w:pPr>
              <w:jc w:val="right"/>
              <w:ind w:right="598"/>
              <w:spacing w:after="0"/>
              <w:rPr>
                <w:sz w:val="20"/>
                <w:szCs w:val="20"/>
                <w:color w:val="auto"/>
              </w:rPr>
            </w:pPr>
            <w:r>
              <w:rPr>
                <w:rFonts w:ascii="Times New Roman" w:cs="Times New Roman" w:eastAsia="Times New Roman" w:hAnsi="Times New Roman"/>
                <w:sz w:val="16"/>
                <w:szCs w:val="16"/>
                <w:color w:val="auto"/>
              </w:rPr>
              <w:t>4.8 % $</w:t>
            </w:r>
          </w:p>
        </w:tc>
        <w:tc>
          <w:tcPr>
            <w:tcW w:w="198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01"/>
        </w:trPr>
        <w:tc>
          <w:tcPr>
            <w:tcW w:w="2300" w:type="dxa"/>
            <w:vAlign w:val="bottom"/>
            <w:tcBorders>
              <w:bottom w:val="single" w:sz="8" w:color="DADADA"/>
            </w:tcBorders>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Q4'25</w:t>
            </w:r>
          </w:p>
        </w:tc>
        <w:tc>
          <w:tcPr>
            <w:tcW w:w="1580" w:type="dxa"/>
            <w:vAlign w:val="bottom"/>
            <w:tcBorders>
              <w:bottom w:val="single" w:sz="8" w:color="DADADA"/>
            </w:tcBorders>
            <w:shd w:val="clear" w:color="auto" w:fill="F4F4F4"/>
          </w:tcPr>
          <w:p>
            <w:pPr>
              <w:jc w:val="right"/>
              <w:ind w:right="91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14M</w:t>
            </w:r>
          </w:p>
        </w:tc>
        <w:tc>
          <w:tcPr>
            <w:tcW w:w="3700" w:type="dxa"/>
            <w:vAlign w:val="bottom"/>
            <w:tcBorders>
              <w:bottom w:val="single" w:sz="8" w:color="DADADA"/>
            </w:tcBorders>
            <w:shd w:val="clear" w:color="auto" w:fill="F4F4F4"/>
          </w:tcPr>
          <w:p>
            <w:pPr>
              <w:jc w:val="right"/>
              <w:ind w:right="598"/>
              <w:spacing w:after="0"/>
              <w:rPr>
                <w:sz w:val="20"/>
                <w:szCs w:val="20"/>
                <w:color w:val="auto"/>
              </w:rPr>
            </w:pPr>
            <w:r>
              <w:rPr>
                <w:rFonts w:ascii="Times New Roman" w:cs="Times New Roman" w:eastAsia="Times New Roman" w:hAnsi="Times New Roman"/>
                <w:sz w:val="16"/>
                <w:szCs w:val="16"/>
                <w:color w:val="auto"/>
              </w:rPr>
              <w:t>1.6 % $</w:t>
            </w:r>
          </w:p>
        </w:tc>
        <w:tc>
          <w:tcPr>
            <w:tcW w:w="198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12.83</w:t>
            </w:r>
          </w:p>
        </w:tc>
      </w:tr>
      <w:tr>
        <w:trPr>
          <w:trHeight w:val="201"/>
        </w:trPr>
        <w:tc>
          <w:tcPr>
            <w:tcW w:w="2300" w:type="dxa"/>
            <w:vAlign w:val="bottom"/>
            <w:tcBorders>
              <w:bottom w:val="single" w:sz="8" w:color="DADADA"/>
            </w:tcBorders>
          </w:tcPr>
          <w:p>
            <w:pPr>
              <w:ind w:left="60"/>
              <w:spacing w:after="0"/>
              <w:rPr>
                <w:sz w:val="20"/>
                <w:szCs w:val="20"/>
                <w:color w:val="auto"/>
              </w:rPr>
            </w:pPr>
            <w:r>
              <w:rPr>
                <w:rFonts w:ascii="Times New Roman" w:cs="Times New Roman" w:eastAsia="Times New Roman" w:hAnsi="Times New Roman"/>
                <w:sz w:val="16"/>
                <w:szCs w:val="16"/>
                <w:color w:val="auto"/>
              </w:rPr>
              <w:t>Q1'26</w:t>
            </w:r>
          </w:p>
        </w:tc>
        <w:tc>
          <w:tcPr>
            <w:tcW w:w="1580" w:type="dxa"/>
            <w:vAlign w:val="bottom"/>
            <w:tcBorders>
              <w:bottom w:val="single" w:sz="8" w:color="DADADA"/>
            </w:tcBorders>
          </w:tcPr>
          <w:p>
            <w:pPr>
              <w:jc w:val="right"/>
              <w:ind w:right="91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20M</w:t>
            </w:r>
          </w:p>
        </w:tc>
        <w:tc>
          <w:tcPr>
            <w:tcW w:w="3700" w:type="dxa"/>
            <w:vAlign w:val="bottom"/>
            <w:tcBorders>
              <w:bottom w:val="single" w:sz="8" w:color="DADADA"/>
            </w:tcBorders>
          </w:tcPr>
          <w:p>
            <w:pPr>
              <w:jc w:val="right"/>
              <w:ind w:right="598"/>
              <w:spacing w:after="0"/>
              <w:rPr>
                <w:sz w:val="20"/>
                <w:szCs w:val="20"/>
                <w:color w:val="auto"/>
              </w:rPr>
            </w:pPr>
            <w:r>
              <w:rPr>
                <w:rFonts w:ascii="Times New Roman" w:cs="Times New Roman" w:eastAsia="Times New Roman" w:hAnsi="Times New Roman"/>
                <w:sz w:val="16"/>
                <w:szCs w:val="16"/>
                <w:color w:val="auto"/>
              </w:rPr>
              <w:t>3.0 % $</w:t>
            </w:r>
          </w:p>
        </w:tc>
        <w:tc>
          <w:tcPr>
            <w:tcW w:w="198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01"/>
        </w:trPr>
        <w:tc>
          <w:tcPr>
            <w:tcW w:w="2300" w:type="dxa"/>
            <w:vAlign w:val="bottom"/>
            <w:tcBorders>
              <w:bottom w:val="single" w:sz="8" w:color="DADADA"/>
            </w:tcBorders>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Q2'26</w:t>
            </w:r>
          </w:p>
        </w:tc>
        <w:tc>
          <w:tcPr>
            <w:tcW w:w="1580" w:type="dxa"/>
            <w:vAlign w:val="bottom"/>
            <w:tcBorders>
              <w:bottom w:val="single" w:sz="8" w:color="DADADA"/>
            </w:tcBorders>
            <w:shd w:val="clear" w:color="auto" w:fill="F4F4F4"/>
          </w:tcPr>
          <w:p>
            <w:pPr>
              <w:jc w:val="right"/>
              <w:ind w:right="91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20M</w:t>
            </w:r>
          </w:p>
        </w:tc>
        <w:tc>
          <w:tcPr>
            <w:tcW w:w="3700" w:type="dxa"/>
            <w:vAlign w:val="bottom"/>
            <w:tcBorders>
              <w:bottom w:val="single" w:sz="8" w:color="DADADA"/>
            </w:tcBorders>
            <w:shd w:val="clear" w:color="auto" w:fill="F4F4F4"/>
          </w:tcPr>
          <w:p>
            <w:pPr>
              <w:jc w:val="right"/>
              <w:ind w:right="598"/>
              <w:spacing w:after="0"/>
              <w:rPr>
                <w:sz w:val="20"/>
                <w:szCs w:val="20"/>
                <w:color w:val="auto"/>
              </w:rPr>
            </w:pPr>
            <w:r>
              <w:rPr>
                <w:rFonts w:ascii="Times New Roman" w:cs="Times New Roman" w:eastAsia="Times New Roman" w:hAnsi="Times New Roman"/>
                <w:sz w:val="16"/>
                <w:szCs w:val="16"/>
                <w:color w:val="auto"/>
              </w:rPr>
              <w:t>3.2 % $</w:t>
            </w:r>
          </w:p>
        </w:tc>
        <w:tc>
          <w:tcPr>
            <w:tcW w:w="198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01"/>
        </w:trPr>
        <w:tc>
          <w:tcPr>
            <w:tcW w:w="2300" w:type="dxa"/>
            <w:vAlign w:val="bottom"/>
            <w:tcBorders>
              <w:bottom w:val="single" w:sz="8" w:color="DADADA"/>
            </w:tcBorders>
          </w:tcPr>
          <w:p>
            <w:pPr>
              <w:ind w:left="60"/>
              <w:spacing w:after="0"/>
              <w:rPr>
                <w:sz w:val="20"/>
                <w:szCs w:val="20"/>
                <w:color w:val="auto"/>
              </w:rPr>
            </w:pPr>
            <w:r>
              <w:rPr>
                <w:rFonts w:ascii="Times New Roman" w:cs="Times New Roman" w:eastAsia="Times New Roman" w:hAnsi="Times New Roman"/>
                <w:sz w:val="16"/>
                <w:szCs w:val="16"/>
                <w:color w:val="auto"/>
              </w:rPr>
              <w:t>Q3'26</w:t>
            </w:r>
          </w:p>
        </w:tc>
        <w:tc>
          <w:tcPr>
            <w:tcW w:w="1580" w:type="dxa"/>
            <w:vAlign w:val="bottom"/>
            <w:tcBorders>
              <w:bottom w:val="single" w:sz="8" w:color="DADADA"/>
            </w:tcBorders>
          </w:tcPr>
          <w:p>
            <w:pPr>
              <w:jc w:val="right"/>
              <w:ind w:right="91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9M</w:t>
            </w:r>
          </w:p>
        </w:tc>
        <w:tc>
          <w:tcPr>
            <w:tcW w:w="3700" w:type="dxa"/>
            <w:vAlign w:val="bottom"/>
            <w:tcBorders>
              <w:bottom w:val="single" w:sz="8" w:color="DADADA"/>
            </w:tcBorders>
          </w:tcPr>
          <w:p>
            <w:pPr>
              <w:jc w:val="right"/>
              <w:ind w:right="598"/>
              <w:spacing w:after="0"/>
              <w:rPr>
                <w:sz w:val="20"/>
                <w:szCs w:val="20"/>
                <w:color w:val="auto"/>
              </w:rPr>
            </w:pPr>
            <w:r>
              <w:rPr>
                <w:rFonts w:ascii="Times New Roman" w:cs="Times New Roman" w:eastAsia="Times New Roman" w:hAnsi="Times New Roman"/>
                <w:sz w:val="16"/>
                <w:szCs w:val="16"/>
                <w:color w:val="auto"/>
              </w:rPr>
              <w:t>1.2 % $</w:t>
            </w:r>
          </w:p>
        </w:tc>
        <w:tc>
          <w:tcPr>
            <w:tcW w:w="1980" w:type="dxa"/>
            <w:vAlign w:val="bottom"/>
            <w:tcBorders>
              <w:bottom w:val="single" w:sz="8" w:color="DADADA"/>
            </w:tcBorders>
          </w:tcPr>
          <w:p>
            <w:pPr>
              <w:jc w:val="right"/>
              <w:spacing w:after="0"/>
              <w:rPr>
                <w:sz w:val="20"/>
                <w:szCs w:val="20"/>
                <w:color w:val="auto"/>
              </w:rPr>
            </w:pPr>
            <w:r>
              <w:rPr>
                <w:rFonts w:ascii="Times New Roman" w:cs="Times New Roman" w:eastAsia="Times New Roman" w:hAnsi="Times New Roman"/>
                <w:sz w:val="16"/>
                <w:szCs w:val="16"/>
                <w:color w:val="auto"/>
              </w:rPr>
              <w:t>11.25</w:t>
            </w:r>
          </w:p>
        </w:tc>
      </w:tr>
      <w:tr>
        <w:trPr>
          <w:trHeight w:val="201"/>
        </w:trPr>
        <w:tc>
          <w:tcPr>
            <w:tcW w:w="2300" w:type="dxa"/>
            <w:vAlign w:val="bottom"/>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Q4'26 through 10/26/2026</w:t>
            </w:r>
          </w:p>
        </w:tc>
        <w:tc>
          <w:tcPr>
            <w:tcW w:w="1580" w:type="dxa"/>
            <w:vAlign w:val="bottom"/>
            <w:shd w:val="clear" w:color="auto" w:fill="F4F4F4"/>
          </w:tcPr>
          <w:p>
            <w:pPr>
              <w:jc w:val="right"/>
              <w:ind w:right="91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19M</w:t>
            </w:r>
          </w:p>
        </w:tc>
        <w:tc>
          <w:tcPr>
            <w:tcW w:w="3700" w:type="dxa"/>
            <w:vAlign w:val="bottom"/>
            <w:tcBorders>
              <w:bottom w:val="single" w:sz="8" w:color="DADADA"/>
            </w:tcBorders>
            <w:shd w:val="clear" w:color="auto" w:fill="F4F4F4"/>
          </w:tcPr>
          <w:p>
            <w:pPr>
              <w:jc w:val="right"/>
              <w:ind w:right="598"/>
              <w:spacing w:after="0"/>
              <w:rPr>
                <w:sz w:val="20"/>
                <w:szCs w:val="20"/>
                <w:color w:val="auto"/>
              </w:rPr>
            </w:pPr>
            <w:r>
              <w:rPr>
                <w:rFonts w:ascii="Times New Roman" w:cs="Times New Roman" w:eastAsia="Times New Roman" w:hAnsi="Times New Roman"/>
                <w:sz w:val="16"/>
                <w:szCs w:val="16"/>
                <w:color w:val="auto"/>
              </w:rPr>
              <w:t>2.6 % $</w:t>
            </w:r>
          </w:p>
        </w:tc>
        <w:tc>
          <w:tcPr>
            <w:tcW w:w="1980" w:type="dxa"/>
            <w:vAlign w:val="bottom"/>
            <w:tcBorders>
              <w:bottom w:val="single" w:sz="8" w:color="DADADA"/>
            </w:tcBorders>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10.38</w:t>
            </w:r>
          </w:p>
        </w:tc>
      </w:tr>
    </w:tbl>
    <w:p>
      <w:pPr>
        <w:spacing w:after="0" w:line="158"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5"/>
          <w:szCs w:val="15"/>
          <w:i w:val="1"/>
          <w:iCs w:val="1"/>
          <w:color w:val="6B6B6B"/>
        </w:rPr>
        <w:t>Represents shares repurchased as a percentage of the 67.9 million shares outstanding as of July 31, 2025. Average price is consideration paid, excluding commission, divided by shares repurchased.</w:t>
      </w:r>
    </w:p>
    <w:p>
      <w:pPr>
        <w:spacing w:after="0" w:line="200" w:lineRule="exact"/>
        <w:rPr>
          <w:sz w:val="20"/>
          <w:szCs w:val="20"/>
          <w:color w:val="auto"/>
        </w:rPr>
      </w:pPr>
    </w:p>
    <w:p>
      <w:pPr>
        <w:spacing w:after="0" w:line="309" w:lineRule="exact"/>
        <w:rPr>
          <w:sz w:val="20"/>
          <w:szCs w:val="20"/>
          <w:color w:val="auto"/>
        </w:rPr>
      </w:pPr>
    </w:p>
    <w:p>
      <w:pPr>
        <w:jc w:val="right"/>
        <w:ind w:right="280"/>
        <w:spacing w:after="0"/>
        <w:rPr>
          <w:sz w:val="20"/>
          <w:szCs w:val="20"/>
          <w:color w:val="auto"/>
        </w:rPr>
      </w:pPr>
      <w:r>
        <w:rPr>
          <w:rFonts w:ascii="Arial" w:cs="Arial" w:eastAsia="Arial" w:hAnsi="Arial"/>
          <w:sz w:val="16"/>
          <w:szCs w:val="16"/>
          <w:color w:val="F36D4D"/>
        </w:rPr>
        <w:t>6</w:t>
      </w:r>
    </w:p>
    <w:p>
      <w:pPr>
        <w:sectPr>
          <w:pgSz w:w="11900" w:h="16838" w:orient="portrait"/>
          <w:cols w:equalWidth="0" w:num="1">
            <w:col w:w="11240"/>
          </w:cols>
          <w:pgMar w:left="320" w:top="371" w:right="339" w:bottom="1440" w:gutter="0" w:footer="0" w:header="0"/>
        </w:sectPr>
      </w:pPr>
    </w:p>
    <w:bookmarkStart w:id="20" w:name="page21"/>
    <w:bookmarkEnd w:id="20"/>
    <w:p>
      <w:pPr>
        <w:ind w:left="60"/>
        <w:spacing w:after="0"/>
        <w:tabs>
          <w:tab w:leader="none" w:pos="1160" w:val="left"/>
        </w:tabs>
        <w:rPr>
          <w:sz w:val="20"/>
          <w:szCs w:val="20"/>
          <w:color w:val="auto"/>
        </w:rPr>
      </w:pPr>
      <w:r>
        <w:rPr>
          <w:rFonts w:ascii="Times New Roman" w:cs="Times New Roman" w:eastAsia="Times New Roman" w:hAnsi="Times New Roman"/>
          <w:sz w:val="15"/>
          <w:szCs w:val="15"/>
          <w:b w:val="1"/>
          <w:bCs w:val="1"/>
          <w:color w:val="F04A22"/>
        </w:rPr>
        <w:drawing>
          <wp:anchor simplePos="0" relativeHeight="251657728" behindDoc="1" locked="0" layoutInCell="0" allowOverlap="1">
            <wp:simplePos x="0" y="0"/>
            <wp:positionH relativeFrom="page">
              <wp:posOffset>201930</wp:posOffset>
            </wp:positionH>
            <wp:positionV relativeFrom="page">
              <wp:posOffset>104775</wp:posOffset>
            </wp:positionV>
            <wp:extent cx="7144385" cy="622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4385" cy="62230"/>
                    </a:xfrm>
                    <a:prstGeom prst="rect">
                      <a:avLst/>
                    </a:prstGeom>
                    <a:noFill/>
                  </pic:spPr>
                </pic:pic>
              </a:graphicData>
            </a:graphic>
          </wp:anchor>
        </w:drawing>
        <w:t>MediaAlpha</w:t>
      </w:r>
      <w:r>
        <w:rPr>
          <w:sz w:val="20"/>
          <w:szCs w:val="20"/>
          <w:color w:val="auto"/>
        </w:rPr>
        <w:tab/>
      </w:r>
      <w:r>
        <w:rPr>
          <w:rFonts w:ascii="Times New Roman" w:cs="Times New Roman" w:eastAsia="Times New Roman" w:hAnsi="Times New Roman"/>
          <w:sz w:val="15"/>
          <w:szCs w:val="15"/>
          <w:color w:val="6B6B6B"/>
        </w:rPr>
        <w:t>Investor Supplement ·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714438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b w:val="1"/>
          <w:bCs w:val="1"/>
          <w:color w:val="auto"/>
        </w:rPr>
        <w:t>Repurchase of TRA Obligation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6B6B6B"/>
        </w:rPr>
        <w:t>Cumulative Tax Receivable Agreement interest retired in 2026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2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11"/>
                <w:szCs w:val="11"/>
                <w:color w:val="6B6B6B"/>
              </w:rPr>
              <w:t>EST. CASH SAVINGS</w:t>
            </w:r>
          </w:p>
        </w:tc>
        <w:tc>
          <w:tcPr>
            <w:tcW w:w="180" w:type="dxa"/>
            <w:vAlign w:val="bottom"/>
          </w:tcPr>
          <w:p>
            <w:pPr>
              <w:spacing w:after="0"/>
              <w:rPr>
                <w:sz w:val="14"/>
                <w:szCs w:val="14"/>
                <w:color w:val="auto"/>
              </w:rPr>
            </w:pPr>
          </w:p>
        </w:tc>
        <w:tc>
          <w:tcPr>
            <w:tcW w:w="362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11"/>
                <w:szCs w:val="11"/>
                <w:color w:val="6B6B6B"/>
              </w:rPr>
              <w:t>CASH PAYMENT</w:t>
            </w:r>
          </w:p>
        </w:tc>
        <w:tc>
          <w:tcPr>
            <w:tcW w:w="180" w:type="dxa"/>
            <w:vAlign w:val="bottom"/>
          </w:tcPr>
          <w:p>
            <w:pPr>
              <w:spacing w:after="0"/>
              <w:rPr>
                <w:sz w:val="14"/>
                <w:szCs w:val="14"/>
                <w:color w:val="auto"/>
              </w:rPr>
            </w:pPr>
          </w:p>
        </w:tc>
        <w:tc>
          <w:tcPr>
            <w:tcW w:w="364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11"/>
                <w:szCs w:val="11"/>
                <w:color w:val="6B6B6B"/>
              </w:rPr>
              <w:t>DISCOUNT TO BOOK VALUE</w:t>
            </w:r>
          </w:p>
        </w:tc>
      </w:tr>
      <w:tr>
        <w:trPr>
          <w:trHeight w:val="299"/>
        </w:trPr>
        <w:tc>
          <w:tcPr>
            <w:tcW w:w="362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20"/>
                <w:szCs w:val="20"/>
                <w:b w:val="1"/>
                <w:bCs w:val="1"/>
                <w:color w:val="auto"/>
              </w:rPr>
              <w:t>$91M</w:t>
            </w:r>
          </w:p>
        </w:tc>
        <w:tc>
          <w:tcPr>
            <w:tcW w:w="180" w:type="dxa"/>
            <w:vAlign w:val="bottom"/>
          </w:tcPr>
          <w:p>
            <w:pPr>
              <w:spacing w:after="0"/>
              <w:rPr>
                <w:sz w:val="24"/>
                <w:szCs w:val="24"/>
                <w:color w:val="auto"/>
              </w:rPr>
            </w:pPr>
          </w:p>
        </w:tc>
        <w:tc>
          <w:tcPr>
            <w:tcW w:w="362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20"/>
                <w:szCs w:val="20"/>
                <w:b w:val="1"/>
                <w:bCs w:val="1"/>
                <w:color w:val="auto"/>
              </w:rPr>
              <w:t>$43M</w:t>
            </w:r>
          </w:p>
        </w:tc>
        <w:tc>
          <w:tcPr>
            <w:tcW w:w="180" w:type="dxa"/>
            <w:vAlign w:val="bottom"/>
          </w:tcPr>
          <w:p>
            <w:pPr>
              <w:spacing w:after="0"/>
              <w:rPr>
                <w:sz w:val="24"/>
                <w:szCs w:val="24"/>
                <w:color w:val="auto"/>
              </w:rPr>
            </w:pPr>
          </w:p>
        </w:tc>
        <w:tc>
          <w:tcPr>
            <w:tcW w:w="3640" w:type="dxa"/>
            <w:vAlign w:val="bottom"/>
            <w:shd w:val="clear" w:color="auto" w:fill="F4F4F4"/>
          </w:tcPr>
          <w:p>
            <w:pPr>
              <w:ind w:left="100"/>
              <w:spacing w:after="0"/>
              <w:rPr>
                <w:sz w:val="20"/>
                <w:szCs w:val="20"/>
                <w:color w:val="auto"/>
              </w:rPr>
            </w:pPr>
            <w:r>
              <w:rPr>
                <w:rFonts w:ascii="Times New Roman" w:cs="Times New Roman" w:eastAsia="Times New Roman" w:hAnsi="Times New Roman"/>
                <w:sz w:val="20"/>
                <w:szCs w:val="20"/>
                <w:b w:val="1"/>
                <w:bCs w:val="1"/>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83755" cy="131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755" cy="131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860"/>
        <w:spacing w:after="0"/>
        <w:rPr>
          <w:sz w:val="20"/>
          <w:szCs w:val="20"/>
          <w:color w:val="auto"/>
        </w:rPr>
      </w:pPr>
      <w:r>
        <w:rPr>
          <w:rFonts w:ascii="Arial" w:cs="Arial" w:eastAsia="Arial" w:hAnsi="Arial"/>
          <w:sz w:val="16"/>
          <w:szCs w:val="16"/>
          <w:color w:val="F36D4D"/>
        </w:rPr>
        <w:t>7</w:t>
      </w:r>
    </w:p>
    <w:p>
      <w:pPr>
        <w:sectPr>
          <w:pgSz w:w="11900" w:h="16838" w:orient="portrait"/>
          <w:cols w:equalWidth="0" w:num="1">
            <w:col w:w="11240"/>
          </w:cols>
          <w:pgMar w:left="320" w:top="371" w:right="339" w:bottom="1440" w:gutter="0" w:footer="0" w:header="0"/>
        </w:sectPr>
      </w:pPr>
    </w:p>
    <w:bookmarkStart w:id="21" w:name="page22"/>
    <w:bookmarkEnd w:id="21"/>
    <w:p>
      <w:pPr>
        <w:ind w:left="60"/>
        <w:spacing w:after="0"/>
        <w:tabs>
          <w:tab w:leader="none" w:pos="1160" w:val="left"/>
        </w:tabs>
        <w:rPr>
          <w:sz w:val="20"/>
          <w:szCs w:val="20"/>
          <w:color w:val="auto"/>
        </w:rPr>
      </w:pPr>
      <w:r>
        <w:rPr>
          <w:rFonts w:ascii="Times New Roman" w:cs="Times New Roman" w:eastAsia="Times New Roman" w:hAnsi="Times New Roman"/>
          <w:sz w:val="15"/>
          <w:szCs w:val="15"/>
          <w:b w:val="1"/>
          <w:bCs w:val="1"/>
          <w:color w:val="F04A22"/>
        </w:rPr>
        <w:drawing>
          <wp:anchor simplePos="0" relativeHeight="251657728" behindDoc="1" locked="0" layoutInCell="0" allowOverlap="1">
            <wp:simplePos x="0" y="0"/>
            <wp:positionH relativeFrom="page">
              <wp:posOffset>201930</wp:posOffset>
            </wp:positionH>
            <wp:positionV relativeFrom="page">
              <wp:posOffset>104775</wp:posOffset>
            </wp:positionV>
            <wp:extent cx="7144385" cy="622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4385" cy="62230"/>
                    </a:xfrm>
                    <a:prstGeom prst="rect">
                      <a:avLst/>
                    </a:prstGeom>
                    <a:noFill/>
                  </pic:spPr>
                </pic:pic>
              </a:graphicData>
            </a:graphic>
          </wp:anchor>
        </w:drawing>
        <w:t>MediaAlpha</w:t>
      </w:r>
      <w:r>
        <w:rPr>
          <w:sz w:val="20"/>
          <w:szCs w:val="20"/>
          <w:color w:val="auto"/>
        </w:rPr>
        <w:tab/>
      </w:r>
      <w:r>
        <w:rPr>
          <w:rFonts w:ascii="Times New Roman" w:cs="Times New Roman" w:eastAsia="Times New Roman" w:hAnsi="Times New Roman"/>
          <w:sz w:val="15"/>
          <w:szCs w:val="15"/>
          <w:color w:val="6B6B6B"/>
        </w:rPr>
        <w:t>Investor Supplement ·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71443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b w:val="1"/>
          <w:bCs w:val="1"/>
          <w:color w:val="auto"/>
        </w:rPr>
        <w:t>Q4 2026 Financial Outlook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6B6B6B"/>
        </w:rPr>
        <w:t>$ in millions, % year-over-year growth</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shd w:val="clear" w:color="auto" w:fill="000000"/>
          </w:tcPr>
          <w:p>
            <w:pPr>
              <w:spacing w:after="0"/>
              <w:rPr>
                <w:sz w:val="19"/>
                <w:szCs w:val="19"/>
                <w:color w:val="auto"/>
              </w:rPr>
            </w:pPr>
          </w:p>
        </w:tc>
        <w:tc>
          <w:tcPr>
            <w:tcW w:w="2920" w:type="dxa"/>
            <w:vAlign w:val="bottom"/>
            <w:shd w:val="clear" w:color="auto" w:fill="000000"/>
          </w:tcPr>
          <w:p>
            <w:pPr>
              <w:spacing w:after="0"/>
              <w:rPr>
                <w:sz w:val="19"/>
                <w:szCs w:val="19"/>
                <w:color w:val="auto"/>
              </w:rPr>
            </w:pPr>
          </w:p>
        </w:tc>
        <w:tc>
          <w:tcPr>
            <w:tcW w:w="780" w:type="dxa"/>
            <w:vAlign w:val="bottom"/>
            <w:shd w:val="clear" w:color="auto" w:fill="000000"/>
          </w:tcPr>
          <w:p>
            <w:pPr>
              <w:jc w:val="right"/>
              <w:ind w:right="98"/>
              <w:spacing w:after="0"/>
              <w:rPr>
                <w:sz w:val="20"/>
                <w:szCs w:val="20"/>
                <w:color w:val="auto"/>
              </w:rPr>
            </w:pPr>
            <w:r>
              <w:rPr>
                <w:rFonts w:ascii="Times New Roman" w:cs="Times New Roman" w:eastAsia="Times New Roman" w:hAnsi="Times New Roman"/>
                <w:sz w:val="16"/>
                <w:szCs w:val="16"/>
                <w:b w:val="1"/>
                <w:bCs w:val="1"/>
                <w:color w:val="FFFFFF"/>
              </w:rPr>
              <w:t>Low</w:t>
            </w:r>
          </w:p>
        </w:tc>
        <w:tc>
          <w:tcPr>
            <w:tcW w:w="780" w:type="dxa"/>
            <w:vAlign w:val="bottom"/>
            <w:shd w:val="clear" w:color="auto" w:fill="000000"/>
          </w:tcPr>
          <w:p>
            <w:pPr>
              <w:ind w:left="180"/>
              <w:spacing w:after="0"/>
              <w:rPr>
                <w:sz w:val="20"/>
                <w:szCs w:val="20"/>
                <w:color w:val="auto"/>
              </w:rPr>
            </w:pPr>
            <w:r>
              <w:rPr>
                <w:rFonts w:ascii="Times New Roman" w:cs="Times New Roman" w:eastAsia="Times New Roman" w:hAnsi="Times New Roman"/>
                <w:sz w:val="16"/>
                <w:szCs w:val="16"/>
                <w:b w:val="1"/>
                <w:bCs w:val="1"/>
                <w:color w:val="FFFFFF"/>
              </w:rPr>
              <w:t>YoY</w:t>
            </w:r>
          </w:p>
        </w:tc>
        <w:tc>
          <w:tcPr>
            <w:tcW w:w="780" w:type="dxa"/>
            <w:vAlign w:val="bottom"/>
            <w:shd w:val="clear" w:color="auto" w:fill="000000"/>
          </w:tcPr>
          <w:p>
            <w:pPr>
              <w:jc w:val="right"/>
              <w:ind w:right="98"/>
              <w:spacing w:after="0"/>
              <w:rPr>
                <w:sz w:val="20"/>
                <w:szCs w:val="20"/>
                <w:color w:val="auto"/>
              </w:rPr>
            </w:pPr>
            <w:r>
              <w:rPr>
                <w:rFonts w:ascii="Times New Roman" w:cs="Times New Roman" w:eastAsia="Times New Roman" w:hAnsi="Times New Roman"/>
                <w:sz w:val="16"/>
                <w:szCs w:val="16"/>
                <w:b w:val="1"/>
                <w:bCs w:val="1"/>
                <w:color w:val="FFFFFF"/>
              </w:rPr>
              <w:t>Mid</w:t>
            </w:r>
          </w:p>
        </w:tc>
        <w:tc>
          <w:tcPr>
            <w:tcW w:w="760" w:type="dxa"/>
            <w:vAlign w:val="bottom"/>
            <w:shd w:val="clear" w:color="auto" w:fill="000000"/>
          </w:tcPr>
          <w:p>
            <w:pPr>
              <w:ind w:left="160"/>
              <w:spacing w:after="0"/>
              <w:rPr>
                <w:sz w:val="20"/>
                <w:szCs w:val="20"/>
                <w:color w:val="auto"/>
              </w:rPr>
            </w:pPr>
            <w:r>
              <w:rPr>
                <w:rFonts w:ascii="Times New Roman" w:cs="Times New Roman" w:eastAsia="Times New Roman" w:hAnsi="Times New Roman"/>
                <w:sz w:val="16"/>
                <w:szCs w:val="16"/>
                <w:b w:val="1"/>
                <w:bCs w:val="1"/>
                <w:color w:val="FFFFFF"/>
              </w:rPr>
              <w:t>YoY</w:t>
            </w:r>
          </w:p>
        </w:tc>
        <w:tc>
          <w:tcPr>
            <w:tcW w:w="780" w:type="dxa"/>
            <w:vAlign w:val="bottom"/>
            <w:shd w:val="clear" w:color="auto" w:fill="000000"/>
          </w:tcPr>
          <w:p>
            <w:pPr>
              <w:jc w:val="right"/>
              <w:ind w:right="98"/>
              <w:spacing w:after="0"/>
              <w:rPr>
                <w:sz w:val="20"/>
                <w:szCs w:val="20"/>
                <w:color w:val="auto"/>
              </w:rPr>
            </w:pPr>
            <w:r>
              <w:rPr>
                <w:rFonts w:ascii="Times New Roman" w:cs="Times New Roman" w:eastAsia="Times New Roman" w:hAnsi="Times New Roman"/>
                <w:sz w:val="16"/>
                <w:szCs w:val="16"/>
                <w:b w:val="1"/>
                <w:bCs w:val="1"/>
                <w:color w:val="FFFFFF"/>
              </w:rPr>
              <w:t>High</w:t>
            </w:r>
          </w:p>
        </w:tc>
        <w:tc>
          <w:tcPr>
            <w:tcW w:w="480" w:type="dxa"/>
            <w:vAlign w:val="bottom"/>
            <w:shd w:val="clear" w:color="auto" w:fill="000000"/>
          </w:tcPr>
          <w:p>
            <w:pPr>
              <w:ind w:left="180"/>
              <w:spacing w:after="0"/>
              <w:rPr>
                <w:sz w:val="20"/>
                <w:szCs w:val="20"/>
                <w:color w:val="auto"/>
              </w:rPr>
            </w:pPr>
            <w:r>
              <w:rPr>
                <w:rFonts w:ascii="Times New Roman" w:cs="Times New Roman" w:eastAsia="Times New Roman" w:hAnsi="Times New Roman"/>
                <w:sz w:val="16"/>
                <w:szCs w:val="16"/>
                <w:b w:val="1"/>
                <w:bCs w:val="1"/>
                <w:color w:val="FFFFFF"/>
                <w:w w:val="89"/>
              </w:rPr>
              <w:t>YoY</w:t>
            </w:r>
          </w:p>
        </w:tc>
      </w:tr>
      <w:tr>
        <w:trPr>
          <w:trHeight w:val="209"/>
        </w:trPr>
        <w:tc>
          <w:tcPr>
            <w:tcW w:w="3960" w:type="dxa"/>
            <w:vAlign w:val="bottom"/>
            <w:tcBorders>
              <w:bottom w:val="single" w:sz="8" w:color="DADADA"/>
            </w:tcBorders>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2920" w:type="dxa"/>
            <w:vAlign w:val="bottom"/>
            <w:tcBorders>
              <w:bottom w:val="single" w:sz="8" w:color="DADADA"/>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DADADA"/>
            </w:tcBorders>
          </w:tcPr>
          <w:p>
            <w:pPr>
              <w:jc w:val="right"/>
              <w:ind w:right="138"/>
              <w:spacing w:after="0"/>
              <w:rPr>
                <w:sz w:val="20"/>
                <w:szCs w:val="20"/>
                <w:color w:val="auto"/>
              </w:rPr>
            </w:pPr>
            <w:r>
              <w:rPr>
                <w:rFonts w:ascii="Times New Roman" w:cs="Times New Roman" w:eastAsia="Times New Roman" w:hAnsi="Times New Roman"/>
                <w:sz w:val="16"/>
                <w:szCs w:val="16"/>
                <w:color w:val="auto"/>
              </w:rPr>
              <w:t>355.0</w:t>
            </w:r>
          </w:p>
        </w:tc>
        <w:tc>
          <w:tcPr>
            <w:tcW w:w="780" w:type="dxa"/>
            <w:vAlign w:val="bottom"/>
            <w:tcBorders>
              <w:bottom w:val="single" w:sz="8" w:color="DADADA"/>
            </w:tcBorders>
          </w:tcPr>
          <w:p>
            <w:pPr>
              <w:ind w:left="180"/>
              <w:spacing w:after="0"/>
              <w:rPr>
                <w:sz w:val="20"/>
                <w:szCs w:val="20"/>
                <w:color w:val="auto"/>
              </w:rPr>
            </w:pPr>
            <w:r>
              <w:rPr>
                <w:rFonts w:ascii="Times New Roman" w:cs="Times New Roman" w:eastAsia="Times New Roman" w:hAnsi="Times New Roman"/>
                <w:sz w:val="16"/>
                <w:szCs w:val="16"/>
                <w:color w:val="auto"/>
              </w:rPr>
              <w:t>22% $</w:t>
            </w:r>
          </w:p>
        </w:tc>
        <w:tc>
          <w:tcPr>
            <w:tcW w:w="780" w:type="dxa"/>
            <w:vAlign w:val="bottom"/>
            <w:tcBorders>
              <w:bottom w:val="single" w:sz="8" w:color="DADADA"/>
            </w:tcBorders>
          </w:tcPr>
          <w:p>
            <w:pPr>
              <w:jc w:val="right"/>
              <w:ind w:right="158"/>
              <w:spacing w:after="0"/>
              <w:rPr>
                <w:sz w:val="20"/>
                <w:szCs w:val="20"/>
                <w:color w:val="auto"/>
              </w:rPr>
            </w:pPr>
            <w:r>
              <w:rPr>
                <w:rFonts w:ascii="Times New Roman" w:cs="Times New Roman" w:eastAsia="Times New Roman" w:hAnsi="Times New Roman"/>
                <w:sz w:val="16"/>
                <w:szCs w:val="16"/>
                <w:color w:val="auto"/>
              </w:rPr>
              <w:t>365.0</w:t>
            </w:r>
          </w:p>
        </w:tc>
        <w:tc>
          <w:tcPr>
            <w:tcW w:w="760" w:type="dxa"/>
            <w:vAlign w:val="bottom"/>
            <w:tcBorders>
              <w:bottom w:val="single" w:sz="8" w:color="DADADA"/>
            </w:tcBorders>
          </w:tcPr>
          <w:p>
            <w:pPr>
              <w:ind w:left="160"/>
              <w:spacing w:after="0"/>
              <w:rPr>
                <w:sz w:val="20"/>
                <w:szCs w:val="20"/>
                <w:color w:val="auto"/>
              </w:rPr>
            </w:pPr>
            <w:r>
              <w:rPr>
                <w:rFonts w:ascii="Times New Roman" w:cs="Times New Roman" w:eastAsia="Times New Roman" w:hAnsi="Times New Roman"/>
                <w:sz w:val="16"/>
                <w:szCs w:val="16"/>
                <w:color w:val="auto"/>
              </w:rPr>
              <w:t>25% $</w:t>
            </w:r>
          </w:p>
        </w:tc>
        <w:tc>
          <w:tcPr>
            <w:tcW w:w="780" w:type="dxa"/>
            <w:vAlign w:val="bottom"/>
            <w:tcBorders>
              <w:bottom w:val="single" w:sz="8" w:color="DADADA"/>
            </w:tcBorders>
          </w:tcPr>
          <w:p>
            <w:pPr>
              <w:jc w:val="right"/>
              <w:ind w:right="158"/>
              <w:spacing w:after="0"/>
              <w:rPr>
                <w:sz w:val="20"/>
                <w:szCs w:val="20"/>
                <w:color w:val="auto"/>
              </w:rPr>
            </w:pPr>
            <w:r>
              <w:rPr>
                <w:rFonts w:ascii="Times New Roman" w:cs="Times New Roman" w:eastAsia="Times New Roman" w:hAnsi="Times New Roman"/>
                <w:sz w:val="16"/>
                <w:szCs w:val="16"/>
                <w:color w:val="auto"/>
              </w:rPr>
              <w:t>375.0</w:t>
            </w:r>
          </w:p>
        </w:tc>
        <w:tc>
          <w:tcPr>
            <w:tcW w:w="480" w:type="dxa"/>
            <w:vAlign w:val="bottom"/>
            <w:tcBorders>
              <w:bottom w:val="single" w:sz="8" w:color="DADADA"/>
            </w:tcBorders>
          </w:tcPr>
          <w:p>
            <w:pPr>
              <w:ind w:left="180"/>
              <w:spacing w:after="0"/>
              <w:rPr>
                <w:sz w:val="20"/>
                <w:szCs w:val="20"/>
                <w:color w:val="auto"/>
              </w:rPr>
            </w:pPr>
            <w:r>
              <w:rPr>
                <w:rFonts w:ascii="Times New Roman" w:cs="Times New Roman" w:eastAsia="Times New Roman" w:hAnsi="Times New Roman"/>
                <w:sz w:val="16"/>
                <w:szCs w:val="16"/>
                <w:color w:val="auto"/>
                <w:w w:val="95"/>
              </w:rPr>
              <w:t>29%</w:t>
            </w:r>
          </w:p>
        </w:tc>
      </w:tr>
      <w:tr>
        <w:trPr>
          <w:trHeight w:val="201"/>
        </w:trPr>
        <w:tc>
          <w:tcPr>
            <w:tcW w:w="3960" w:type="dxa"/>
            <w:vAlign w:val="bottom"/>
            <w:tcBorders>
              <w:bottom w:val="single" w:sz="8" w:color="DADADA"/>
            </w:tcBorders>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Contribution</w:t>
            </w:r>
          </w:p>
        </w:tc>
        <w:tc>
          <w:tcPr>
            <w:tcW w:w="2920" w:type="dxa"/>
            <w:vAlign w:val="bottom"/>
            <w:tcBorders>
              <w:bottom w:val="single" w:sz="8" w:color="DADADA"/>
            </w:tcBorders>
            <w:shd w:val="clear" w:color="auto" w:fill="F4F4F4"/>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DADADA"/>
            </w:tcBorders>
            <w:shd w:val="clear" w:color="auto" w:fill="F4F4F4"/>
          </w:tcPr>
          <w:p>
            <w:pPr>
              <w:jc w:val="right"/>
              <w:ind w:right="138"/>
              <w:spacing w:after="0"/>
              <w:rPr>
                <w:sz w:val="20"/>
                <w:szCs w:val="20"/>
                <w:color w:val="auto"/>
              </w:rPr>
            </w:pPr>
            <w:r>
              <w:rPr>
                <w:rFonts w:ascii="Times New Roman" w:cs="Times New Roman" w:eastAsia="Times New Roman" w:hAnsi="Times New Roman"/>
                <w:sz w:val="16"/>
                <w:szCs w:val="16"/>
                <w:color w:val="auto"/>
              </w:rPr>
              <w:t>54.0</w:t>
            </w:r>
          </w:p>
        </w:tc>
        <w:tc>
          <w:tcPr>
            <w:tcW w:w="780" w:type="dxa"/>
            <w:vAlign w:val="bottom"/>
            <w:tcBorders>
              <w:bottom w:val="single" w:sz="8" w:color="DADADA"/>
            </w:tcBorders>
            <w:shd w:val="clear" w:color="auto" w:fill="F4F4F4"/>
          </w:tcPr>
          <w:p>
            <w:pPr>
              <w:ind w:left="180"/>
              <w:spacing w:after="0"/>
              <w:rPr>
                <w:sz w:val="20"/>
                <w:szCs w:val="20"/>
                <w:color w:val="auto"/>
              </w:rPr>
            </w:pPr>
            <w:r>
              <w:rPr>
                <w:rFonts w:ascii="Times New Roman" w:cs="Times New Roman" w:eastAsia="Times New Roman" w:hAnsi="Times New Roman"/>
                <w:sz w:val="16"/>
                <w:szCs w:val="16"/>
                <w:color w:val="auto"/>
              </w:rPr>
              <w:t>15% $</w:t>
            </w:r>
          </w:p>
        </w:tc>
        <w:tc>
          <w:tcPr>
            <w:tcW w:w="780" w:type="dxa"/>
            <w:vAlign w:val="bottom"/>
            <w:tcBorders>
              <w:bottom w:val="single" w:sz="8" w:color="DADADA"/>
            </w:tcBorders>
            <w:shd w:val="clear" w:color="auto" w:fill="F4F4F4"/>
          </w:tcPr>
          <w:p>
            <w:pPr>
              <w:jc w:val="right"/>
              <w:ind w:right="158"/>
              <w:spacing w:after="0"/>
              <w:rPr>
                <w:sz w:val="20"/>
                <w:szCs w:val="20"/>
                <w:color w:val="auto"/>
              </w:rPr>
            </w:pPr>
            <w:r>
              <w:rPr>
                <w:rFonts w:ascii="Times New Roman" w:cs="Times New Roman" w:eastAsia="Times New Roman" w:hAnsi="Times New Roman"/>
                <w:sz w:val="16"/>
                <w:szCs w:val="16"/>
                <w:color w:val="auto"/>
              </w:rPr>
              <w:t>55.5</w:t>
            </w:r>
          </w:p>
        </w:tc>
        <w:tc>
          <w:tcPr>
            <w:tcW w:w="760" w:type="dxa"/>
            <w:vAlign w:val="bottom"/>
            <w:tcBorders>
              <w:bottom w:val="single" w:sz="8" w:color="DADADA"/>
            </w:tcBorders>
            <w:shd w:val="clear" w:color="auto" w:fill="F4F4F4"/>
          </w:tcPr>
          <w:p>
            <w:pPr>
              <w:ind w:left="160"/>
              <w:spacing w:after="0"/>
              <w:rPr>
                <w:sz w:val="20"/>
                <w:szCs w:val="20"/>
                <w:color w:val="auto"/>
              </w:rPr>
            </w:pPr>
            <w:r>
              <w:rPr>
                <w:rFonts w:ascii="Times New Roman" w:cs="Times New Roman" w:eastAsia="Times New Roman" w:hAnsi="Times New Roman"/>
                <w:sz w:val="16"/>
                <w:szCs w:val="16"/>
                <w:color w:val="auto"/>
              </w:rPr>
              <w:t>18% $</w:t>
            </w:r>
          </w:p>
        </w:tc>
        <w:tc>
          <w:tcPr>
            <w:tcW w:w="780" w:type="dxa"/>
            <w:vAlign w:val="bottom"/>
            <w:tcBorders>
              <w:bottom w:val="single" w:sz="8" w:color="DADADA"/>
            </w:tcBorders>
            <w:shd w:val="clear" w:color="auto" w:fill="F4F4F4"/>
          </w:tcPr>
          <w:p>
            <w:pPr>
              <w:jc w:val="right"/>
              <w:ind w:right="158"/>
              <w:spacing w:after="0"/>
              <w:rPr>
                <w:sz w:val="20"/>
                <w:szCs w:val="20"/>
                <w:color w:val="auto"/>
              </w:rPr>
            </w:pPr>
            <w:r>
              <w:rPr>
                <w:rFonts w:ascii="Times New Roman" w:cs="Times New Roman" w:eastAsia="Times New Roman" w:hAnsi="Times New Roman"/>
                <w:sz w:val="16"/>
                <w:szCs w:val="16"/>
                <w:color w:val="auto"/>
              </w:rPr>
              <w:t>57.0</w:t>
            </w:r>
          </w:p>
        </w:tc>
        <w:tc>
          <w:tcPr>
            <w:tcW w:w="480" w:type="dxa"/>
            <w:vAlign w:val="bottom"/>
            <w:tcBorders>
              <w:bottom w:val="single" w:sz="8" w:color="DADADA"/>
            </w:tcBorders>
            <w:shd w:val="clear" w:color="auto" w:fill="F4F4F4"/>
          </w:tcPr>
          <w:p>
            <w:pPr>
              <w:ind w:left="180"/>
              <w:spacing w:after="0"/>
              <w:rPr>
                <w:sz w:val="20"/>
                <w:szCs w:val="20"/>
                <w:color w:val="auto"/>
              </w:rPr>
            </w:pPr>
            <w:r>
              <w:rPr>
                <w:rFonts w:ascii="Times New Roman" w:cs="Times New Roman" w:eastAsia="Times New Roman" w:hAnsi="Times New Roman"/>
                <w:sz w:val="16"/>
                <w:szCs w:val="16"/>
                <w:color w:val="auto"/>
                <w:w w:val="95"/>
              </w:rPr>
              <w:t>22%</w:t>
            </w:r>
          </w:p>
        </w:tc>
      </w:tr>
      <w:tr>
        <w:trPr>
          <w:trHeight w:val="201"/>
        </w:trPr>
        <w:tc>
          <w:tcPr>
            <w:tcW w:w="3960" w:type="dxa"/>
            <w:vAlign w:val="bottom"/>
            <w:tcBorders>
              <w:bottom w:val="single" w:sz="8" w:color="DADADA"/>
            </w:tcBorders>
          </w:tcPr>
          <w:p>
            <w:pPr>
              <w:ind w:left="60"/>
              <w:spacing w:after="0"/>
              <w:rPr>
                <w:sz w:val="20"/>
                <w:szCs w:val="20"/>
                <w:color w:val="auto"/>
              </w:rPr>
            </w:pPr>
            <w:r>
              <w:rPr>
                <w:rFonts w:ascii="Times New Roman" w:cs="Times New Roman" w:eastAsia="Times New Roman" w:hAnsi="Times New Roman"/>
                <w:sz w:val="16"/>
                <w:szCs w:val="16"/>
                <w:color w:val="auto"/>
              </w:rPr>
              <w:t>Adjusted EBITDA</w:t>
            </w:r>
          </w:p>
        </w:tc>
        <w:tc>
          <w:tcPr>
            <w:tcW w:w="2920" w:type="dxa"/>
            <w:vAlign w:val="bottom"/>
            <w:tcBorders>
              <w:bottom w:val="single" w:sz="8" w:color="DADADA"/>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DADADA"/>
            </w:tcBorders>
          </w:tcPr>
          <w:p>
            <w:pPr>
              <w:jc w:val="right"/>
              <w:ind w:right="138"/>
              <w:spacing w:after="0"/>
              <w:rPr>
                <w:sz w:val="20"/>
                <w:szCs w:val="20"/>
                <w:color w:val="auto"/>
              </w:rPr>
            </w:pPr>
            <w:r>
              <w:rPr>
                <w:rFonts w:ascii="Times New Roman" w:cs="Times New Roman" w:eastAsia="Times New Roman" w:hAnsi="Times New Roman"/>
                <w:sz w:val="16"/>
                <w:szCs w:val="16"/>
                <w:color w:val="auto"/>
              </w:rPr>
              <w:t>36.0</w:t>
            </w:r>
          </w:p>
        </w:tc>
        <w:tc>
          <w:tcPr>
            <w:tcW w:w="780" w:type="dxa"/>
            <w:vAlign w:val="bottom"/>
            <w:tcBorders>
              <w:bottom w:val="single" w:sz="8" w:color="DADADA"/>
            </w:tcBorders>
          </w:tcPr>
          <w:p>
            <w:pPr>
              <w:ind w:left="180"/>
              <w:spacing w:after="0"/>
              <w:rPr>
                <w:sz w:val="20"/>
                <w:szCs w:val="20"/>
                <w:color w:val="auto"/>
              </w:rPr>
            </w:pPr>
            <w:r>
              <w:rPr>
                <w:rFonts w:ascii="Times New Roman" w:cs="Times New Roman" w:eastAsia="Times New Roman" w:hAnsi="Times New Roman"/>
                <w:sz w:val="16"/>
                <w:szCs w:val="16"/>
                <w:color w:val="auto"/>
              </w:rPr>
              <w:t>17% $</w:t>
            </w:r>
          </w:p>
        </w:tc>
        <w:tc>
          <w:tcPr>
            <w:tcW w:w="780" w:type="dxa"/>
            <w:vAlign w:val="bottom"/>
            <w:tcBorders>
              <w:bottom w:val="single" w:sz="8" w:color="DADADA"/>
            </w:tcBorders>
          </w:tcPr>
          <w:p>
            <w:pPr>
              <w:jc w:val="right"/>
              <w:ind w:right="158"/>
              <w:spacing w:after="0"/>
              <w:rPr>
                <w:sz w:val="20"/>
                <w:szCs w:val="20"/>
                <w:color w:val="auto"/>
              </w:rPr>
            </w:pPr>
            <w:r>
              <w:rPr>
                <w:rFonts w:ascii="Times New Roman" w:cs="Times New Roman" w:eastAsia="Times New Roman" w:hAnsi="Times New Roman"/>
                <w:sz w:val="16"/>
                <w:szCs w:val="16"/>
                <w:color w:val="auto"/>
              </w:rPr>
              <w:t>37.5</w:t>
            </w:r>
          </w:p>
        </w:tc>
        <w:tc>
          <w:tcPr>
            <w:tcW w:w="760" w:type="dxa"/>
            <w:vAlign w:val="bottom"/>
            <w:tcBorders>
              <w:bottom w:val="single" w:sz="8" w:color="DADADA"/>
            </w:tcBorders>
          </w:tcPr>
          <w:p>
            <w:pPr>
              <w:ind w:left="160"/>
              <w:spacing w:after="0"/>
              <w:rPr>
                <w:sz w:val="20"/>
                <w:szCs w:val="20"/>
                <w:color w:val="auto"/>
              </w:rPr>
            </w:pPr>
            <w:r>
              <w:rPr>
                <w:rFonts w:ascii="Times New Roman" w:cs="Times New Roman" w:eastAsia="Times New Roman" w:hAnsi="Times New Roman"/>
                <w:sz w:val="16"/>
                <w:szCs w:val="16"/>
                <w:color w:val="auto"/>
              </w:rPr>
              <w:t>22% $</w:t>
            </w:r>
          </w:p>
        </w:tc>
        <w:tc>
          <w:tcPr>
            <w:tcW w:w="780" w:type="dxa"/>
            <w:vAlign w:val="bottom"/>
            <w:tcBorders>
              <w:bottom w:val="single" w:sz="8" w:color="DADADA"/>
            </w:tcBorders>
          </w:tcPr>
          <w:p>
            <w:pPr>
              <w:jc w:val="right"/>
              <w:ind w:right="158"/>
              <w:spacing w:after="0"/>
              <w:rPr>
                <w:sz w:val="20"/>
                <w:szCs w:val="20"/>
                <w:color w:val="auto"/>
              </w:rPr>
            </w:pPr>
            <w:r>
              <w:rPr>
                <w:rFonts w:ascii="Times New Roman" w:cs="Times New Roman" w:eastAsia="Times New Roman" w:hAnsi="Times New Roman"/>
                <w:sz w:val="16"/>
                <w:szCs w:val="16"/>
                <w:color w:val="auto"/>
              </w:rPr>
              <w:t>39.0</w:t>
            </w:r>
          </w:p>
        </w:tc>
        <w:tc>
          <w:tcPr>
            <w:tcW w:w="480" w:type="dxa"/>
            <w:vAlign w:val="bottom"/>
            <w:tcBorders>
              <w:bottom w:val="single" w:sz="8" w:color="DADADA"/>
            </w:tcBorders>
          </w:tcPr>
          <w:p>
            <w:pPr>
              <w:ind w:left="180"/>
              <w:spacing w:after="0"/>
              <w:rPr>
                <w:sz w:val="20"/>
                <w:szCs w:val="20"/>
                <w:color w:val="auto"/>
              </w:rPr>
            </w:pPr>
            <w:r>
              <w:rPr>
                <w:rFonts w:ascii="Times New Roman" w:cs="Times New Roman" w:eastAsia="Times New Roman" w:hAnsi="Times New Roman"/>
                <w:sz w:val="16"/>
                <w:szCs w:val="16"/>
                <w:color w:val="auto"/>
                <w:w w:val="95"/>
              </w:rPr>
              <w:t>27%</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Excluding Under-65 Health (Under-65 Contribution guided at approximately $0.5M across all scenarios)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shd w:val="clear" w:color="auto" w:fill="000000"/>
          </w:tcPr>
          <w:p>
            <w:pPr>
              <w:spacing w:after="0"/>
              <w:rPr>
                <w:sz w:val="19"/>
                <w:szCs w:val="19"/>
                <w:color w:val="auto"/>
              </w:rPr>
            </w:pPr>
          </w:p>
        </w:tc>
        <w:tc>
          <w:tcPr>
            <w:tcW w:w="2960" w:type="dxa"/>
            <w:vAlign w:val="bottom"/>
            <w:shd w:val="clear" w:color="auto" w:fill="000000"/>
          </w:tcPr>
          <w:p>
            <w:pPr>
              <w:spacing w:after="0"/>
              <w:rPr>
                <w:sz w:val="19"/>
                <w:szCs w:val="19"/>
                <w:color w:val="auto"/>
              </w:rPr>
            </w:pPr>
          </w:p>
        </w:tc>
        <w:tc>
          <w:tcPr>
            <w:tcW w:w="740" w:type="dxa"/>
            <w:vAlign w:val="bottom"/>
            <w:shd w:val="clear" w:color="auto" w:fill="000000"/>
          </w:tcPr>
          <w:p>
            <w:pPr>
              <w:jc w:val="right"/>
              <w:ind w:right="98"/>
              <w:spacing w:after="0"/>
              <w:rPr>
                <w:sz w:val="20"/>
                <w:szCs w:val="20"/>
                <w:color w:val="auto"/>
              </w:rPr>
            </w:pPr>
            <w:r>
              <w:rPr>
                <w:rFonts w:ascii="Times New Roman" w:cs="Times New Roman" w:eastAsia="Times New Roman" w:hAnsi="Times New Roman"/>
                <w:sz w:val="16"/>
                <w:szCs w:val="16"/>
                <w:b w:val="1"/>
                <w:bCs w:val="1"/>
                <w:color w:val="FFFFFF"/>
              </w:rPr>
              <w:t>Low</w:t>
            </w:r>
          </w:p>
        </w:tc>
        <w:tc>
          <w:tcPr>
            <w:tcW w:w="820" w:type="dxa"/>
            <w:vAlign w:val="bottom"/>
            <w:shd w:val="clear" w:color="auto" w:fill="000000"/>
          </w:tcPr>
          <w:p>
            <w:pPr>
              <w:ind w:left="180"/>
              <w:spacing w:after="0"/>
              <w:rPr>
                <w:sz w:val="20"/>
                <w:szCs w:val="20"/>
                <w:color w:val="auto"/>
              </w:rPr>
            </w:pPr>
            <w:r>
              <w:rPr>
                <w:rFonts w:ascii="Times New Roman" w:cs="Times New Roman" w:eastAsia="Times New Roman" w:hAnsi="Times New Roman"/>
                <w:sz w:val="16"/>
                <w:szCs w:val="16"/>
                <w:b w:val="1"/>
                <w:bCs w:val="1"/>
                <w:color w:val="FFFFFF"/>
              </w:rPr>
              <w:t>YoY</w:t>
            </w:r>
          </w:p>
        </w:tc>
        <w:tc>
          <w:tcPr>
            <w:tcW w:w="740" w:type="dxa"/>
            <w:vAlign w:val="bottom"/>
            <w:shd w:val="clear" w:color="auto" w:fill="000000"/>
          </w:tcPr>
          <w:p>
            <w:pPr>
              <w:jc w:val="right"/>
              <w:ind w:right="98"/>
              <w:spacing w:after="0"/>
              <w:rPr>
                <w:sz w:val="20"/>
                <w:szCs w:val="20"/>
                <w:color w:val="auto"/>
              </w:rPr>
            </w:pPr>
            <w:r>
              <w:rPr>
                <w:rFonts w:ascii="Times New Roman" w:cs="Times New Roman" w:eastAsia="Times New Roman" w:hAnsi="Times New Roman"/>
                <w:sz w:val="16"/>
                <w:szCs w:val="16"/>
                <w:b w:val="1"/>
                <w:bCs w:val="1"/>
                <w:color w:val="FFFFFF"/>
              </w:rPr>
              <w:t>Mid</w:t>
            </w:r>
          </w:p>
        </w:tc>
        <w:tc>
          <w:tcPr>
            <w:tcW w:w="800" w:type="dxa"/>
            <w:vAlign w:val="bottom"/>
            <w:shd w:val="clear" w:color="auto" w:fill="000000"/>
          </w:tcPr>
          <w:p>
            <w:pPr>
              <w:ind w:left="160"/>
              <w:spacing w:after="0"/>
              <w:rPr>
                <w:sz w:val="20"/>
                <w:szCs w:val="20"/>
                <w:color w:val="auto"/>
              </w:rPr>
            </w:pPr>
            <w:r>
              <w:rPr>
                <w:rFonts w:ascii="Times New Roman" w:cs="Times New Roman" w:eastAsia="Times New Roman" w:hAnsi="Times New Roman"/>
                <w:sz w:val="16"/>
                <w:szCs w:val="16"/>
                <w:b w:val="1"/>
                <w:bCs w:val="1"/>
                <w:color w:val="FFFFFF"/>
              </w:rPr>
              <w:t>YoY</w:t>
            </w:r>
          </w:p>
        </w:tc>
        <w:tc>
          <w:tcPr>
            <w:tcW w:w="700" w:type="dxa"/>
            <w:vAlign w:val="bottom"/>
            <w:shd w:val="clear" w:color="auto" w:fill="000000"/>
          </w:tcPr>
          <w:p>
            <w:pPr>
              <w:ind w:left="220"/>
              <w:spacing w:after="0"/>
              <w:rPr>
                <w:sz w:val="20"/>
                <w:szCs w:val="20"/>
                <w:color w:val="auto"/>
              </w:rPr>
            </w:pPr>
            <w:r>
              <w:rPr>
                <w:rFonts w:ascii="Times New Roman" w:cs="Times New Roman" w:eastAsia="Times New Roman" w:hAnsi="Times New Roman"/>
                <w:sz w:val="16"/>
                <w:szCs w:val="16"/>
                <w:b w:val="1"/>
                <w:bCs w:val="1"/>
                <w:color w:val="FFFFFF"/>
              </w:rPr>
              <w:t>High</w:t>
            </w:r>
          </w:p>
        </w:tc>
        <w:tc>
          <w:tcPr>
            <w:tcW w:w="520" w:type="dxa"/>
            <w:vAlign w:val="bottom"/>
            <w:shd w:val="clear" w:color="auto" w:fill="000000"/>
          </w:tcPr>
          <w:p>
            <w:pPr>
              <w:ind w:left="220"/>
              <w:spacing w:after="0"/>
              <w:rPr>
                <w:sz w:val="20"/>
                <w:szCs w:val="20"/>
                <w:color w:val="auto"/>
              </w:rPr>
            </w:pPr>
            <w:r>
              <w:rPr>
                <w:rFonts w:ascii="Times New Roman" w:cs="Times New Roman" w:eastAsia="Times New Roman" w:hAnsi="Times New Roman"/>
                <w:sz w:val="16"/>
                <w:szCs w:val="16"/>
                <w:b w:val="1"/>
                <w:bCs w:val="1"/>
                <w:color w:val="FFFFFF"/>
                <w:w w:val="89"/>
              </w:rPr>
              <w:t>YoY</w:t>
            </w:r>
          </w:p>
        </w:tc>
      </w:tr>
      <w:tr>
        <w:trPr>
          <w:trHeight w:val="209"/>
        </w:trPr>
        <w:tc>
          <w:tcPr>
            <w:tcW w:w="3960" w:type="dxa"/>
            <w:vAlign w:val="bottom"/>
            <w:tcBorders>
              <w:bottom w:val="single" w:sz="8" w:color="DADADA"/>
            </w:tcBorders>
          </w:tcPr>
          <w:p>
            <w:pPr>
              <w:ind w:left="60"/>
              <w:spacing w:after="0"/>
              <w:rPr>
                <w:sz w:val="20"/>
                <w:szCs w:val="20"/>
                <w:color w:val="auto"/>
              </w:rPr>
            </w:pPr>
            <w:r>
              <w:rPr>
                <w:rFonts w:ascii="Times New Roman" w:cs="Times New Roman" w:eastAsia="Times New Roman" w:hAnsi="Times New Roman"/>
                <w:sz w:val="16"/>
                <w:szCs w:val="16"/>
                <w:color w:val="auto"/>
              </w:rPr>
              <w:t>Contribution</w:t>
            </w:r>
          </w:p>
        </w:tc>
        <w:tc>
          <w:tcPr>
            <w:tcW w:w="2960" w:type="dxa"/>
            <w:vAlign w:val="bottom"/>
            <w:tcBorders>
              <w:bottom w:val="single" w:sz="8" w:color="DADADA"/>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DADADA"/>
            </w:tcBorders>
          </w:tcPr>
          <w:p>
            <w:pPr>
              <w:jc w:val="right"/>
              <w:ind w:right="138"/>
              <w:spacing w:after="0"/>
              <w:rPr>
                <w:sz w:val="20"/>
                <w:szCs w:val="20"/>
                <w:color w:val="auto"/>
              </w:rPr>
            </w:pPr>
            <w:r>
              <w:rPr>
                <w:rFonts w:ascii="Times New Roman" w:cs="Times New Roman" w:eastAsia="Times New Roman" w:hAnsi="Times New Roman"/>
                <w:sz w:val="16"/>
                <w:szCs w:val="16"/>
                <w:color w:val="auto"/>
              </w:rPr>
              <w:t>53.5</w:t>
            </w:r>
          </w:p>
        </w:tc>
        <w:tc>
          <w:tcPr>
            <w:tcW w:w="820" w:type="dxa"/>
            <w:vAlign w:val="bottom"/>
            <w:tcBorders>
              <w:bottom w:val="single" w:sz="8" w:color="DADADA"/>
            </w:tcBorders>
          </w:tcPr>
          <w:p>
            <w:pPr>
              <w:ind w:left="180"/>
              <w:spacing w:after="0"/>
              <w:rPr>
                <w:sz w:val="20"/>
                <w:szCs w:val="20"/>
                <w:color w:val="auto"/>
              </w:rPr>
            </w:pPr>
            <w:r>
              <w:rPr>
                <w:rFonts w:ascii="Times New Roman" w:cs="Times New Roman" w:eastAsia="Times New Roman" w:hAnsi="Times New Roman"/>
                <w:sz w:val="16"/>
                <w:szCs w:val="16"/>
                <w:color w:val="auto"/>
              </w:rPr>
              <w:t>18% $</w:t>
            </w:r>
          </w:p>
        </w:tc>
        <w:tc>
          <w:tcPr>
            <w:tcW w:w="740" w:type="dxa"/>
            <w:vAlign w:val="bottom"/>
            <w:tcBorders>
              <w:bottom w:val="single" w:sz="8" w:color="DADADA"/>
            </w:tcBorders>
          </w:tcPr>
          <w:p>
            <w:pPr>
              <w:jc w:val="right"/>
              <w:ind w:right="158"/>
              <w:spacing w:after="0"/>
              <w:rPr>
                <w:sz w:val="20"/>
                <w:szCs w:val="20"/>
                <w:color w:val="auto"/>
              </w:rPr>
            </w:pPr>
            <w:r>
              <w:rPr>
                <w:rFonts w:ascii="Times New Roman" w:cs="Times New Roman" w:eastAsia="Times New Roman" w:hAnsi="Times New Roman"/>
                <w:sz w:val="16"/>
                <w:szCs w:val="16"/>
                <w:color w:val="auto"/>
              </w:rPr>
              <w:t>55.0</w:t>
            </w:r>
          </w:p>
        </w:tc>
        <w:tc>
          <w:tcPr>
            <w:tcW w:w="800" w:type="dxa"/>
            <w:vAlign w:val="bottom"/>
            <w:tcBorders>
              <w:bottom w:val="single" w:sz="8" w:color="DADADA"/>
            </w:tcBorders>
          </w:tcPr>
          <w:p>
            <w:pPr>
              <w:ind w:left="160"/>
              <w:spacing w:after="0"/>
              <w:rPr>
                <w:sz w:val="20"/>
                <w:szCs w:val="20"/>
                <w:color w:val="auto"/>
              </w:rPr>
            </w:pPr>
            <w:r>
              <w:rPr>
                <w:rFonts w:ascii="Times New Roman" w:cs="Times New Roman" w:eastAsia="Times New Roman" w:hAnsi="Times New Roman"/>
                <w:sz w:val="16"/>
                <w:szCs w:val="16"/>
                <w:color w:val="auto"/>
              </w:rPr>
              <w:t>21% $</w:t>
            </w:r>
          </w:p>
        </w:tc>
        <w:tc>
          <w:tcPr>
            <w:tcW w:w="700" w:type="dxa"/>
            <w:vAlign w:val="bottom"/>
            <w:tcBorders>
              <w:bottom w:val="single" w:sz="8" w:color="DADADA"/>
            </w:tcBorders>
          </w:tcPr>
          <w:p>
            <w:pPr>
              <w:ind w:left="220"/>
              <w:spacing w:after="0"/>
              <w:rPr>
                <w:sz w:val="20"/>
                <w:szCs w:val="20"/>
                <w:color w:val="auto"/>
              </w:rPr>
            </w:pPr>
            <w:r>
              <w:rPr>
                <w:rFonts w:ascii="Times New Roman" w:cs="Times New Roman" w:eastAsia="Times New Roman" w:hAnsi="Times New Roman"/>
                <w:sz w:val="16"/>
                <w:szCs w:val="16"/>
                <w:color w:val="auto"/>
              </w:rPr>
              <w:t>56.5</w:t>
            </w:r>
          </w:p>
        </w:tc>
        <w:tc>
          <w:tcPr>
            <w:tcW w:w="520" w:type="dxa"/>
            <w:vAlign w:val="bottom"/>
            <w:tcBorders>
              <w:bottom w:val="single" w:sz="8" w:color="DADADA"/>
            </w:tcBorders>
          </w:tcPr>
          <w:p>
            <w:pPr>
              <w:ind w:left="220"/>
              <w:spacing w:after="0"/>
              <w:rPr>
                <w:sz w:val="20"/>
                <w:szCs w:val="20"/>
                <w:color w:val="auto"/>
              </w:rPr>
            </w:pPr>
            <w:r>
              <w:rPr>
                <w:rFonts w:ascii="Times New Roman" w:cs="Times New Roman" w:eastAsia="Times New Roman" w:hAnsi="Times New Roman"/>
                <w:sz w:val="16"/>
                <w:szCs w:val="16"/>
                <w:color w:val="auto"/>
                <w:w w:val="95"/>
              </w:rPr>
              <w:t>24%</w:t>
            </w:r>
          </w:p>
        </w:tc>
      </w:tr>
      <w:tr>
        <w:trPr>
          <w:trHeight w:val="201"/>
        </w:trPr>
        <w:tc>
          <w:tcPr>
            <w:tcW w:w="3960" w:type="dxa"/>
            <w:vAlign w:val="bottom"/>
            <w:tcBorders>
              <w:bottom w:val="single" w:sz="8" w:color="DADADA"/>
            </w:tcBorders>
            <w:shd w:val="clear" w:color="auto" w:fill="F4F4F4"/>
          </w:tcPr>
          <w:p>
            <w:pPr>
              <w:ind w:left="60"/>
              <w:spacing w:after="0"/>
              <w:rPr>
                <w:sz w:val="20"/>
                <w:szCs w:val="20"/>
                <w:color w:val="auto"/>
              </w:rPr>
            </w:pPr>
            <w:r>
              <w:rPr>
                <w:rFonts w:ascii="Times New Roman" w:cs="Times New Roman" w:eastAsia="Times New Roman" w:hAnsi="Times New Roman"/>
                <w:sz w:val="16"/>
                <w:szCs w:val="16"/>
                <w:color w:val="auto"/>
              </w:rPr>
              <w:t>Adjusted EBITDA</w:t>
            </w:r>
          </w:p>
        </w:tc>
        <w:tc>
          <w:tcPr>
            <w:tcW w:w="2960" w:type="dxa"/>
            <w:vAlign w:val="bottom"/>
            <w:tcBorders>
              <w:bottom w:val="single" w:sz="8" w:color="DADADA"/>
            </w:tcBorders>
            <w:shd w:val="clear" w:color="auto" w:fill="F4F4F4"/>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DADADA"/>
            </w:tcBorders>
            <w:shd w:val="clear" w:color="auto" w:fill="F4F4F4"/>
          </w:tcPr>
          <w:p>
            <w:pPr>
              <w:jc w:val="right"/>
              <w:ind w:right="138"/>
              <w:spacing w:after="0"/>
              <w:rPr>
                <w:sz w:val="20"/>
                <w:szCs w:val="20"/>
                <w:color w:val="auto"/>
              </w:rPr>
            </w:pPr>
            <w:r>
              <w:rPr>
                <w:rFonts w:ascii="Times New Roman" w:cs="Times New Roman" w:eastAsia="Times New Roman" w:hAnsi="Times New Roman"/>
                <w:sz w:val="16"/>
                <w:szCs w:val="16"/>
                <w:color w:val="auto"/>
              </w:rPr>
              <w:t>35.5</w:t>
            </w:r>
          </w:p>
        </w:tc>
        <w:tc>
          <w:tcPr>
            <w:tcW w:w="820" w:type="dxa"/>
            <w:vAlign w:val="bottom"/>
            <w:tcBorders>
              <w:bottom w:val="single" w:sz="8" w:color="DADADA"/>
            </w:tcBorders>
            <w:shd w:val="clear" w:color="auto" w:fill="F4F4F4"/>
          </w:tcPr>
          <w:p>
            <w:pPr>
              <w:ind w:left="180"/>
              <w:spacing w:after="0"/>
              <w:rPr>
                <w:sz w:val="20"/>
                <w:szCs w:val="20"/>
                <w:color w:val="auto"/>
              </w:rPr>
            </w:pPr>
            <w:r>
              <w:rPr>
                <w:rFonts w:ascii="Times New Roman" w:cs="Times New Roman" w:eastAsia="Times New Roman" w:hAnsi="Times New Roman"/>
                <w:sz w:val="16"/>
                <w:szCs w:val="16"/>
                <w:color w:val="auto"/>
              </w:rPr>
              <w:t>21% $</w:t>
            </w:r>
          </w:p>
        </w:tc>
        <w:tc>
          <w:tcPr>
            <w:tcW w:w="740" w:type="dxa"/>
            <w:vAlign w:val="bottom"/>
            <w:tcBorders>
              <w:bottom w:val="single" w:sz="8" w:color="DADADA"/>
            </w:tcBorders>
            <w:shd w:val="clear" w:color="auto" w:fill="F4F4F4"/>
          </w:tcPr>
          <w:p>
            <w:pPr>
              <w:jc w:val="right"/>
              <w:ind w:right="158"/>
              <w:spacing w:after="0"/>
              <w:rPr>
                <w:sz w:val="20"/>
                <w:szCs w:val="20"/>
                <w:color w:val="auto"/>
              </w:rPr>
            </w:pPr>
            <w:r>
              <w:rPr>
                <w:rFonts w:ascii="Times New Roman" w:cs="Times New Roman" w:eastAsia="Times New Roman" w:hAnsi="Times New Roman"/>
                <w:sz w:val="16"/>
                <w:szCs w:val="16"/>
                <w:color w:val="auto"/>
              </w:rPr>
              <w:t>37.0</w:t>
            </w:r>
          </w:p>
        </w:tc>
        <w:tc>
          <w:tcPr>
            <w:tcW w:w="800" w:type="dxa"/>
            <w:vAlign w:val="bottom"/>
            <w:tcBorders>
              <w:bottom w:val="single" w:sz="8" w:color="DADADA"/>
            </w:tcBorders>
            <w:shd w:val="clear" w:color="auto" w:fill="F4F4F4"/>
          </w:tcPr>
          <w:p>
            <w:pPr>
              <w:ind w:left="160"/>
              <w:spacing w:after="0"/>
              <w:rPr>
                <w:sz w:val="20"/>
                <w:szCs w:val="20"/>
                <w:color w:val="auto"/>
              </w:rPr>
            </w:pPr>
            <w:r>
              <w:rPr>
                <w:rFonts w:ascii="Times New Roman" w:cs="Times New Roman" w:eastAsia="Times New Roman" w:hAnsi="Times New Roman"/>
                <w:sz w:val="16"/>
                <w:szCs w:val="16"/>
                <w:color w:val="auto"/>
              </w:rPr>
              <w:t>26% $</w:t>
            </w:r>
          </w:p>
        </w:tc>
        <w:tc>
          <w:tcPr>
            <w:tcW w:w="700" w:type="dxa"/>
            <w:vAlign w:val="bottom"/>
            <w:tcBorders>
              <w:bottom w:val="single" w:sz="8" w:color="DADADA"/>
            </w:tcBorders>
            <w:shd w:val="clear" w:color="auto" w:fill="F4F4F4"/>
          </w:tcPr>
          <w:p>
            <w:pPr>
              <w:ind w:left="220"/>
              <w:spacing w:after="0"/>
              <w:rPr>
                <w:sz w:val="20"/>
                <w:szCs w:val="20"/>
                <w:color w:val="auto"/>
              </w:rPr>
            </w:pPr>
            <w:r>
              <w:rPr>
                <w:rFonts w:ascii="Times New Roman" w:cs="Times New Roman" w:eastAsia="Times New Roman" w:hAnsi="Times New Roman"/>
                <w:sz w:val="16"/>
                <w:szCs w:val="16"/>
                <w:color w:val="auto"/>
              </w:rPr>
              <w:t>38.5</w:t>
            </w:r>
          </w:p>
        </w:tc>
        <w:tc>
          <w:tcPr>
            <w:tcW w:w="520" w:type="dxa"/>
            <w:vAlign w:val="bottom"/>
            <w:tcBorders>
              <w:bottom w:val="single" w:sz="8" w:color="DADADA"/>
            </w:tcBorders>
            <w:shd w:val="clear" w:color="auto" w:fill="F4F4F4"/>
          </w:tcPr>
          <w:p>
            <w:pPr>
              <w:ind w:left="220"/>
              <w:spacing w:after="0"/>
              <w:rPr>
                <w:sz w:val="20"/>
                <w:szCs w:val="20"/>
                <w:color w:val="auto"/>
              </w:rPr>
            </w:pPr>
            <w:r>
              <w:rPr>
                <w:rFonts w:ascii="Times New Roman" w:cs="Times New Roman" w:eastAsia="Times New Roman" w:hAnsi="Times New Roman"/>
                <w:sz w:val="16"/>
                <w:szCs w:val="16"/>
                <w:color w:val="auto"/>
                <w:w w:val="95"/>
              </w:rPr>
              <w:t>31%</w:t>
            </w:r>
          </w:p>
        </w:tc>
      </w:tr>
      <w:tr>
        <w:trPr>
          <w:trHeight w:val="818"/>
        </w:trPr>
        <w:tc>
          <w:tcPr>
            <w:tcW w:w="39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jc w:val="right"/>
              <w:ind w:right="198"/>
              <w:spacing w:after="0"/>
              <w:rPr>
                <w:sz w:val="20"/>
                <w:szCs w:val="20"/>
                <w:color w:val="auto"/>
              </w:rPr>
            </w:pPr>
            <w:r>
              <w:rPr>
                <w:rFonts w:ascii="Arial" w:cs="Arial" w:eastAsia="Arial" w:hAnsi="Arial"/>
                <w:sz w:val="16"/>
                <w:szCs w:val="16"/>
                <w:color w:val="F36D4D"/>
              </w:rPr>
              <w:t>8</w:t>
            </w:r>
          </w:p>
        </w:tc>
      </w:tr>
    </w:tbl>
    <w:p>
      <w:pPr>
        <w:sectPr>
          <w:pgSz w:w="11900" w:h="16838" w:orient="portrait"/>
          <w:cols w:equalWidth="0" w:num="1">
            <w:col w:w="11240"/>
          </w:cols>
          <w:pgMar w:left="320" w:top="371" w:right="339" w:bottom="1440" w:gutter="0" w:footer="0" w:header="0"/>
        </w:sectPr>
      </w:pPr>
    </w:p>
    <w:bookmarkStart w:id="22" w:name="page23"/>
    <w:bookmarkEnd w:id="22"/>
    <w:p>
      <w:pPr>
        <w:ind w:left="60"/>
        <w:spacing w:after="0"/>
        <w:tabs>
          <w:tab w:leader="none" w:pos="1160" w:val="left"/>
        </w:tabs>
        <w:rPr>
          <w:sz w:val="20"/>
          <w:szCs w:val="20"/>
          <w:color w:val="auto"/>
        </w:rPr>
      </w:pPr>
      <w:r>
        <w:rPr>
          <w:rFonts w:ascii="Times New Roman" w:cs="Times New Roman" w:eastAsia="Times New Roman" w:hAnsi="Times New Roman"/>
          <w:sz w:val="15"/>
          <w:szCs w:val="15"/>
          <w:b w:val="1"/>
          <w:bCs w:val="1"/>
          <w:color w:val="F04A22"/>
        </w:rPr>
        <w:drawing>
          <wp:anchor simplePos="0" relativeHeight="251657728" behindDoc="1" locked="0" layoutInCell="0" allowOverlap="1">
            <wp:simplePos x="0" y="0"/>
            <wp:positionH relativeFrom="page">
              <wp:posOffset>201930</wp:posOffset>
            </wp:positionH>
            <wp:positionV relativeFrom="page">
              <wp:posOffset>104775</wp:posOffset>
            </wp:positionV>
            <wp:extent cx="7144385" cy="622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4385" cy="62230"/>
                    </a:xfrm>
                    <a:prstGeom prst="rect">
                      <a:avLst/>
                    </a:prstGeom>
                    <a:noFill/>
                  </pic:spPr>
                </pic:pic>
              </a:graphicData>
            </a:graphic>
          </wp:anchor>
        </w:drawing>
        <w:t>MediaAlpha</w:t>
      </w:r>
      <w:r>
        <w:rPr>
          <w:sz w:val="20"/>
          <w:szCs w:val="20"/>
          <w:color w:val="auto"/>
        </w:rPr>
        <w:tab/>
      </w:r>
      <w:r>
        <w:rPr>
          <w:rFonts w:ascii="Times New Roman" w:cs="Times New Roman" w:eastAsia="Times New Roman" w:hAnsi="Times New Roman"/>
          <w:sz w:val="15"/>
          <w:szCs w:val="15"/>
          <w:color w:val="6B6B6B"/>
        </w:rPr>
        <w:t>Investor Supplement ·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714438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b w:val="1"/>
          <w:bCs w:val="1"/>
          <w:color w:val="auto"/>
        </w:rPr>
        <w:t>Key Business Metrics and Non-GAAP Financial Measures</w:t>
      </w:r>
    </w:p>
    <w:p>
      <w:pPr>
        <w:spacing w:after="0" w:line="12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 addition to traditional financial metrics, we rely upon certain business metrics that are not presented in accordance with GAAP to estimate the volume of spending on our platform, estimate and recognize revenue, evaluate our business performance and facilitate our operations. Such business metrics should not be considered in isolation from, or as an alternative to, measures presented in accordance with GAAP and should be considered together with other operating and financial performance measures presented in accordance with GAAP. Also, such business and operating metrics may not necessarily be comparable to similarly titled measures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860"/>
        <w:spacing w:after="0"/>
        <w:rPr>
          <w:sz w:val="20"/>
          <w:szCs w:val="20"/>
          <w:color w:val="auto"/>
        </w:rPr>
      </w:pPr>
      <w:r>
        <w:rPr>
          <w:rFonts w:ascii="Arial" w:cs="Arial" w:eastAsia="Arial" w:hAnsi="Arial"/>
          <w:sz w:val="16"/>
          <w:szCs w:val="16"/>
          <w:color w:val="F36D4D"/>
        </w:rPr>
        <w:t>9</w:t>
      </w:r>
    </w:p>
    <w:p>
      <w:pPr>
        <w:sectPr>
          <w:pgSz w:w="11900" w:h="16838" w:orient="portrait"/>
          <w:cols w:equalWidth="0" w:num="1">
            <w:col w:w="11160"/>
          </w:cols>
          <w:pgMar w:left="320" w:top="371" w:right="419" w:bottom="1440" w:gutter="0" w:footer="0" w:header="0"/>
        </w:sectPr>
      </w:pPr>
    </w:p>
    <w:bookmarkStart w:id="23" w:name="page24"/>
    <w:bookmarkEnd w:id="23"/>
    <w:p>
      <w:pPr>
        <w:ind w:left="60"/>
        <w:spacing w:after="0"/>
        <w:tabs>
          <w:tab w:leader="none" w:pos="1160" w:val="left"/>
        </w:tabs>
        <w:rPr>
          <w:sz w:val="20"/>
          <w:szCs w:val="20"/>
          <w:color w:val="auto"/>
        </w:rPr>
      </w:pPr>
      <w:r>
        <w:rPr>
          <w:rFonts w:ascii="Times New Roman" w:cs="Times New Roman" w:eastAsia="Times New Roman" w:hAnsi="Times New Roman"/>
          <w:sz w:val="15"/>
          <w:szCs w:val="15"/>
          <w:b w:val="1"/>
          <w:bCs w:val="1"/>
          <w:color w:val="F04A22"/>
        </w:rPr>
        <w:drawing>
          <wp:anchor simplePos="0" relativeHeight="251657728" behindDoc="1" locked="0" layoutInCell="0" allowOverlap="1">
            <wp:simplePos x="0" y="0"/>
            <wp:positionH relativeFrom="page">
              <wp:posOffset>201930</wp:posOffset>
            </wp:positionH>
            <wp:positionV relativeFrom="page">
              <wp:posOffset>104775</wp:posOffset>
            </wp:positionV>
            <wp:extent cx="7144385" cy="62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4385" cy="62230"/>
                    </a:xfrm>
                    <a:prstGeom prst="rect">
                      <a:avLst/>
                    </a:prstGeom>
                    <a:noFill/>
                  </pic:spPr>
                </pic:pic>
              </a:graphicData>
            </a:graphic>
          </wp:anchor>
        </w:drawing>
        <w:t>MediaAlpha</w:t>
      </w:r>
      <w:r>
        <w:rPr>
          <w:sz w:val="20"/>
          <w:szCs w:val="20"/>
          <w:color w:val="auto"/>
        </w:rPr>
        <w:tab/>
      </w:r>
      <w:r>
        <w:rPr>
          <w:rFonts w:ascii="Times New Roman" w:cs="Times New Roman" w:eastAsia="Times New Roman" w:hAnsi="Times New Roman"/>
          <w:sz w:val="15"/>
          <w:szCs w:val="15"/>
          <w:color w:val="6B6B6B"/>
        </w:rPr>
        <w:t>Investor Supplement ·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714438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b w:val="1"/>
          <w:bCs w:val="1"/>
          <w:color w:val="auto"/>
        </w:rPr>
        <w:t>Contribution to Gross Profit</w:t>
      </w:r>
    </w:p>
    <w:p>
      <w:pPr>
        <w:spacing w:after="0" w:line="22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We define “Contribution” as revenue less revenue share payments and online advertising costs, or, as reported in our consolidated statements of operations, revenue less cost of revenue (i.e., gross profit), as adjusted to exclude the following items from cost of revenue: equity-based compensation; salaries, wages, and related costs; internet and hosting costs; amortization; depreciation; other services; and merchant-related fees. We define “Contribution Margin” as Contribution expressed as a percentage of revenue for the same period. Contribution and Contribution Margin are non-GAAP financial measures that we present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increases and our headcount costs and other operating expenses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spacing w:after="0" w:line="269"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6"/>
          <w:szCs w:val="16"/>
          <w:color w:val="auto"/>
        </w:rPr>
        <w:t>The following table reconciles Contribution with gross profit, the most directly comparable financial measure calculated and presented in accordance with GAAP, for the three and nine months ended September 30, 2026 and 2025: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6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6"/>
                <w:szCs w:val="16"/>
                <w:b w:val="1"/>
                <w:bCs w:val="1"/>
                <w:color w:val="FFFFFF"/>
              </w:rPr>
              <w:t>(in thousands)</w:t>
            </w:r>
          </w:p>
        </w:tc>
        <w:tc>
          <w:tcPr>
            <w:tcW w:w="760" w:type="dxa"/>
            <w:vAlign w:val="bottom"/>
            <w:shd w:val="clear" w:color="auto" w:fill="000000"/>
          </w:tcPr>
          <w:p>
            <w:pPr>
              <w:spacing w:after="0"/>
              <w:rPr>
                <w:sz w:val="18"/>
                <w:szCs w:val="18"/>
                <w:color w:val="auto"/>
              </w:rPr>
            </w:pPr>
          </w:p>
        </w:tc>
        <w:tc>
          <w:tcPr>
            <w:tcW w:w="112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Q3 2026</w:t>
            </w:r>
          </w:p>
        </w:tc>
        <w:tc>
          <w:tcPr>
            <w:tcW w:w="400" w:type="dxa"/>
            <w:vAlign w:val="bottom"/>
            <w:shd w:val="clear" w:color="auto" w:fill="000000"/>
          </w:tcPr>
          <w:p>
            <w:pPr>
              <w:spacing w:after="0"/>
              <w:rPr>
                <w:sz w:val="18"/>
                <w:szCs w:val="18"/>
                <w:color w:val="auto"/>
              </w:rPr>
            </w:pPr>
          </w:p>
        </w:tc>
        <w:tc>
          <w:tcPr>
            <w:tcW w:w="112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Q3 2025</w:t>
            </w:r>
          </w:p>
        </w:tc>
        <w:tc>
          <w:tcPr>
            <w:tcW w:w="400" w:type="dxa"/>
            <w:vAlign w:val="bottom"/>
            <w:shd w:val="clear" w:color="auto" w:fill="000000"/>
          </w:tcPr>
          <w:p>
            <w:pPr>
              <w:spacing w:after="0"/>
              <w:rPr>
                <w:sz w:val="18"/>
                <w:szCs w:val="18"/>
                <w:color w:val="auto"/>
              </w:rPr>
            </w:pPr>
          </w:p>
        </w:tc>
        <w:tc>
          <w:tcPr>
            <w:tcW w:w="116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9mo 2026</w:t>
            </w:r>
          </w:p>
        </w:tc>
        <w:tc>
          <w:tcPr>
            <w:tcW w:w="420" w:type="dxa"/>
            <w:vAlign w:val="bottom"/>
            <w:shd w:val="clear" w:color="auto" w:fill="000000"/>
          </w:tcPr>
          <w:p>
            <w:pPr>
              <w:spacing w:after="0"/>
              <w:rPr>
                <w:sz w:val="18"/>
                <w:szCs w:val="18"/>
                <w:color w:val="auto"/>
              </w:rPr>
            </w:pPr>
          </w:p>
        </w:tc>
        <w:tc>
          <w:tcPr>
            <w:tcW w:w="11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9mo 2025</w:t>
            </w:r>
          </w:p>
        </w:tc>
      </w:tr>
      <w:tr>
        <w:trPr>
          <w:trHeight w:val="209"/>
        </w:trPr>
        <w:tc>
          <w:tcPr>
            <w:tcW w:w="4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Revenue</w:t>
            </w:r>
          </w:p>
        </w:tc>
        <w:tc>
          <w:tcPr>
            <w:tcW w:w="76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375,946</w:t>
            </w: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306,514</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1,002,825</w:t>
            </w:r>
          </w:p>
        </w:tc>
        <w:tc>
          <w:tcPr>
            <w:tcW w:w="42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822,445</w:t>
            </w:r>
          </w:p>
        </w:tc>
      </w:tr>
      <w:tr>
        <w:trPr>
          <w:trHeight w:val="209"/>
        </w:trPr>
        <w:tc>
          <w:tcPr>
            <w:tcW w:w="4760" w:type="dxa"/>
            <w:vAlign w:val="bottom"/>
            <w:shd w:val="clear" w:color="auto" w:fill="F4F4F4"/>
          </w:tcPr>
          <w:p>
            <w:pPr>
              <w:ind w:left="160"/>
              <w:spacing w:after="0"/>
              <w:rPr>
                <w:sz w:val="20"/>
                <w:szCs w:val="20"/>
                <w:color w:val="auto"/>
              </w:rPr>
            </w:pPr>
            <w:r>
              <w:rPr>
                <w:rFonts w:ascii="Times New Roman" w:cs="Times New Roman" w:eastAsia="Times New Roman" w:hAnsi="Times New Roman"/>
                <w:sz w:val="16"/>
                <w:szCs w:val="16"/>
                <w:color w:val="auto"/>
              </w:rPr>
              <w:t>Less cost of revenue</w:t>
            </w:r>
          </w:p>
        </w:tc>
        <w:tc>
          <w:tcPr>
            <w:tcW w:w="760" w:type="dxa"/>
            <w:vAlign w:val="bottom"/>
            <w:shd w:val="clear" w:color="auto" w:fill="F4F4F4"/>
          </w:tcPr>
          <w:p>
            <w:pPr>
              <w:spacing w:after="0"/>
              <w:rPr>
                <w:sz w:val="18"/>
                <w:szCs w:val="18"/>
                <w:color w:val="auto"/>
              </w:rPr>
            </w:pPr>
          </w:p>
        </w:tc>
        <w:tc>
          <w:tcPr>
            <w:tcW w:w="1120" w:type="dxa"/>
            <w:vAlign w:val="bottom"/>
            <w:shd w:val="clear" w:color="auto" w:fill="F4F4F4"/>
          </w:tcPr>
          <w:p>
            <w:pPr>
              <w:jc w:val="right"/>
              <w:ind w:right="78"/>
              <w:spacing w:after="0"/>
              <w:rPr>
                <w:sz w:val="20"/>
                <w:szCs w:val="20"/>
                <w:color w:val="auto"/>
              </w:rPr>
            </w:pPr>
            <w:r>
              <w:rPr>
                <w:rFonts w:ascii="Times New Roman" w:cs="Times New Roman" w:eastAsia="Times New Roman" w:hAnsi="Times New Roman"/>
                <w:sz w:val="16"/>
                <w:szCs w:val="16"/>
                <w:color w:val="auto"/>
              </w:rPr>
              <w:t>(320,618)</w:t>
            </w:r>
          </w:p>
        </w:tc>
        <w:tc>
          <w:tcPr>
            <w:tcW w:w="400" w:type="dxa"/>
            <w:vAlign w:val="bottom"/>
            <w:shd w:val="clear" w:color="auto" w:fill="F4F4F4"/>
          </w:tcPr>
          <w:p>
            <w:pPr>
              <w:spacing w:after="0"/>
              <w:rPr>
                <w:sz w:val="18"/>
                <w:szCs w:val="18"/>
                <w:color w:val="auto"/>
              </w:rPr>
            </w:pPr>
          </w:p>
        </w:tc>
        <w:tc>
          <w:tcPr>
            <w:tcW w:w="1120" w:type="dxa"/>
            <w:vAlign w:val="bottom"/>
            <w:shd w:val="clear" w:color="auto" w:fill="F4F4F4"/>
          </w:tcPr>
          <w:p>
            <w:pPr>
              <w:jc w:val="right"/>
              <w:ind w:right="78"/>
              <w:spacing w:after="0"/>
              <w:rPr>
                <w:sz w:val="20"/>
                <w:szCs w:val="20"/>
                <w:color w:val="auto"/>
              </w:rPr>
            </w:pPr>
            <w:r>
              <w:rPr>
                <w:rFonts w:ascii="Times New Roman" w:cs="Times New Roman" w:eastAsia="Times New Roman" w:hAnsi="Times New Roman"/>
                <w:sz w:val="16"/>
                <w:szCs w:val="16"/>
                <w:color w:val="auto"/>
              </w:rPr>
              <w:t>(263,108)</w:t>
            </w:r>
          </w:p>
        </w:tc>
        <w:tc>
          <w:tcPr>
            <w:tcW w:w="400" w:type="dxa"/>
            <w:vAlign w:val="bottom"/>
            <w:shd w:val="clear" w:color="auto" w:fill="F4F4F4"/>
          </w:tcPr>
          <w:p>
            <w:pPr>
              <w:spacing w:after="0"/>
              <w:rPr>
                <w:sz w:val="18"/>
                <w:szCs w:val="18"/>
                <w:color w:val="auto"/>
              </w:rPr>
            </w:pPr>
          </w:p>
        </w:tc>
        <w:tc>
          <w:tcPr>
            <w:tcW w:w="1160" w:type="dxa"/>
            <w:vAlign w:val="bottom"/>
            <w:shd w:val="clear" w:color="auto" w:fill="F4F4F4"/>
          </w:tcPr>
          <w:p>
            <w:pPr>
              <w:jc w:val="right"/>
              <w:ind w:right="78"/>
              <w:spacing w:after="0"/>
              <w:rPr>
                <w:sz w:val="20"/>
                <w:szCs w:val="20"/>
                <w:color w:val="auto"/>
              </w:rPr>
            </w:pPr>
            <w:r>
              <w:rPr>
                <w:rFonts w:ascii="Times New Roman" w:cs="Times New Roman" w:eastAsia="Times New Roman" w:hAnsi="Times New Roman"/>
                <w:sz w:val="16"/>
                <w:szCs w:val="16"/>
                <w:color w:val="auto"/>
              </w:rPr>
              <w:t>(855,624)</w:t>
            </w:r>
          </w:p>
        </w:tc>
        <w:tc>
          <w:tcPr>
            <w:tcW w:w="420" w:type="dxa"/>
            <w:vAlign w:val="bottom"/>
            <w:shd w:val="clear" w:color="auto" w:fill="F4F4F4"/>
          </w:tcPr>
          <w:p>
            <w:pPr>
              <w:spacing w:after="0"/>
              <w:rPr>
                <w:sz w:val="18"/>
                <w:szCs w:val="18"/>
                <w:color w:val="auto"/>
              </w:rPr>
            </w:pPr>
          </w:p>
        </w:tc>
        <w:tc>
          <w:tcPr>
            <w:tcW w:w="1100" w:type="dxa"/>
            <w:vAlign w:val="bottom"/>
            <w:shd w:val="clear" w:color="auto" w:fill="F4F4F4"/>
          </w:tcPr>
          <w:p>
            <w:pPr>
              <w:jc w:val="right"/>
              <w:ind w:right="58"/>
              <w:spacing w:after="0"/>
              <w:rPr>
                <w:sz w:val="20"/>
                <w:szCs w:val="20"/>
                <w:color w:val="auto"/>
              </w:rPr>
            </w:pPr>
            <w:r>
              <w:rPr>
                <w:rFonts w:ascii="Times New Roman" w:cs="Times New Roman" w:eastAsia="Times New Roman" w:hAnsi="Times New Roman"/>
                <w:sz w:val="16"/>
                <w:szCs w:val="16"/>
                <w:color w:val="auto"/>
              </w:rPr>
              <w:t>(699,713)</w:t>
            </w:r>
          </w:p>
        </w:tc>
      </w:tr>
      <w:tr>
        <w:trPr>
          <w:trHeight w:val="209"/>
        </w:trPr>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76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55,328</w:t>
            </w: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43,406</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147,201</w:t>
            </w:r>
          </w:p>
        </w:tc>
        <w:tc>
          <w:tcPr>
            <w:tcW w:w="42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122,732</w:t>
            </w:r>
          </w:p>
        </w:tc>
      </w:tr>
      <w:tr>
        <w:trPr>
          <w:trHeight w:val="226"/>
        </w:trPr>
        <w:tc>
          <w:tcPr>
            <w:tcW w:w="4760" w:type="dxa"/>
            <w:vAlign w:val="bottom"/>
            <w:tcBorders>
              <w:bottom w:val="single" w:sz="8" w:color="F4F4F4"/>
            </w:tcBorders>
            <w:shd w:val="clear" w:color="auto" w:fill="F4F4F4"/>
          </w:tcPr>
          <w:p>
            <w:pPr>
              <w:ind w:left="160"/>
              <w:spacing w:after="0"/>
              <w:rPr>
                <w:sz w:val="20"/>
                <w:szCs w:val="20"/>
                <w:color w:val="auto"/>
              </w:rPr>
            </w:pPr>
            <w:r>
              <w:rPr>
                <w:rFonts w:ascii="Times New Roman" w:cs="Times New Roman" w:eastAsia="Times New Roman" w:hAnsi="Times New Roman"/>
                <w:sz w:val="16"/>
                <w:szCs w:val="16"/>
                <w:color w:val="auto"/>
              </w:rPr>
              <w:t>Adjusted to exclude the following (as related to cost of revenue):</w:t>
            </w:r>
          </w:p>
        </w:tc>
        <w:tc>
          <w:tcPr>
            <w:tcW w:w="760" w:type="dxa"/>
            <w:vAlign w:val="bottom"/>
            <w:tcBorders>
              <w:bottom w:val="single" w:sz="8" w:color="F4F4F4"/>
            </w:tcBorders>
            <w:shd w:val="clear" w:color="auto" w:fill="F4F4F4"/>
          </w:tcPr>
          <w:p>
            <w:pPr>
              <w:spacing w:after="0"/>
              <w:rPr>
                <w:sz w:val="19"/>
                <w:szCs w:val="19"/>
                <w:color w:val="auto"/>
              </w:rPr>
            </w:pPr>
          </w:p>
        </w:tc>
        <w:tc>
          <w:tcPr>
            <w:tcW w:w="1120" w:type="dxa"/>
            <w:vAlign w:val="bottom"/>
            <w:tcBorders>
              <w:bottom w:val="single" w:sz="8" w:color="F4F4F4"/>
            </w:tcBorders>
            <w:shd w:val="clear" w:color="auto" w:fill="F4F4F4"/>
          </w:tcPr>
          <w:p>
            <w:pPr>
              <w:spacing w:after="0"/>
              <w:rPr>
                <w:sz w:val="19"/>
                <w:szCs w:val="19"/>
                <w:color w:val="auto"/>
              </w:rPr>
            </w:pPr>
          </w:p>
        </w:tc>
        <w:tc>
          <w:tcPr>
            <w:tcW w:w="400" w:type="dxa"/>
            <w:vAlign w:val="bottom"/>
            <w:tcBorders>
              <w:bottom w:val="single" w:sz="8" w:color="F4F4F4"/>
            </w:tcBorders>
            <w:shd w:val="clear" w:color="auto" w:fill="F4F4F4"/>
          </w:tcPr>
          <w:p>
            <w:pPr>
              <w:spacing w:after="0"/>
              <w:rPr>
                <w:sz w:val="19"/>
                <w:szCs w:val="19"/>
                <w:color w:val="auto"/>
              </w:rPr>
            </w:pPr>
          </w:p>
        </w:tc>
        <w:tc>
          <w:tcPr>
            <w:tcW w:w="1120" w:type="dxa"/>
            <w:vAlign w:val="bottom"/>
            <w:tcBorders>
              <w:bottom w:val="single" w:sz="8" w:color="F4F4F4"/>
            </w:tcBorders>
            <w:shd w:val="clear" w:color="auto" w:fill="F4F4F4"/>
          </w:tcPr>
          <w:p>
            <w:pPr>
              <w:spacing w:after="0"/>
              <w:rPr>
                <w:sz w:val="19"/>
                <w:szCs w:val="19"/>
                <w:color w:val="auto"/>
              </w:rPr>
            </w:pPr>
          </w:p>
        </w:tc>
        <w:tc>
          <w:tcPr>
            <w:tcW w:w="400" w:type="dxa"/>
            <w:vAlign w:val="bottom"/>
            <w:tcBorders>
              <w:bottom w:val="single" w:sz="8" w:color="F4F4F4"/>
            </w:tcBorders>
            <w:shd w:val="clear" w:color="auto" w:fill="F4F4F4"/>
          </w:tcPr>
          <w:p>
            <w:pPr>
              <w:spacing w:after="0"/>
              <w:rPr>
                <w:sz w:val="19"/>
                <w:szCs w:val="19"/>
                <w:color w:val="auto"/>
              </w:rPr>
            </w:pPr>
          </w:p>
        </w:tc>
        <w:tc>
          <w:tcPr>
            <w:tcW w:w="1160" w:type="dxa"/>
            <w:vAlign w:val="bottom"/>
            <w:tcBorders>
              <w:bottom w:val="single" w:sz="8" w:color="F4F4F4"/>
            </w:tcBorders>
            <w:shd w:val="clear" w:color="auto" w:fill="F4F4F4"/>
          </w:tcPr>
          <w:p>
            <w:pPr>
              <w:spacing w:after="0"/>
              <w:rPr>
                <w:sz w:val="19"/>
                <w:szCs w:val="19"/>
                <w:color w:val="auto"/>
              </w:rPr>
            </w:pPr>
          </w:p>
        </w:tc>
        <w:tc>
          <w:tcPr>
            <w:tcW w:w="420" w:type="dxa"/>
            <w:vAlign w:val="bottom"/>
            <w:tcBorders>
              <w:bottom w:val="single" w:sz="8" w:color="F4F4F4"/>
            </w:tcBorders>
            <w:shd w:val="clear" w:color="auto" w:fill="F4F4F4"/>
          </w:tcPr>
          <w:p>
            <w:pPr>
              <w:spacing w:after="0"/>
              <w:rPr>
                <w:sz w:val="19"/>
                <w:szCs w:val="19"/>
                <w:color w:val="auto"/>
              </w:rPr>
            </w:pPr>
          </w:p>
        </w:tc>
        <w:tc>
          <w:tcPr>
            <w:tcW w:w="1100" w:type="dxa"/>
            <w:vAlign w:val="bottom"/>
            <w:tcBorders>
              <w:bottom w:val="single" w:sz="8" w:color="F4F4F4"/>
            </w:tcBorders>
            <w:shd w:val="clear" w:color="auto" w:fill="F4F4F4"/>
          </w:tcPr>
          <w:p>
            <w:pPr>
              <w:spacing w:after="0"/>
              <w:rPr>
                <w:sz w:val="19"/>
                <w:szCs w:val="19"/>
                <w:color w:val="auto"/>
              </w:rPr>
            </w:pPr>
          </w:p>
        </w:tc>
      </w:tr>
      <w:tr>
        <w:trPr>
          <w:trHeight w:val="209"/>
        </w:trPr>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760" w:type="dxa"/>
            <w:vAlign w:val="bottom"/>
          </w:tcPr>
          <w:p>
            <w:pPr>
              <w:spacing w:after="0"/>
              <w:rPr>
                <w:sz w:val="18"/>
                <w:szCs w:val="18"/>
                <w:color w:val="auto"/>
              </w:rPr>
            </w:pP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83</w:t>
            </w:r>
          </w:p>
        </w:tc>
        <w:tc>
          <w:tcPr>
            <w:tcW w:w="400" w:type="dxa"/>
            <w:vAlign w:val="bottom"/>
          </w:tcPr>
          <w:p>
            <w:pPr>
              <w:spacing w:after="0"/>
              <w:rPr>
                <w:sz w:val="18"/>
                <w:szCs w:val="18"/>
                <w:color w:val="auto"/>
              </w:rPr>
            </w:pP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265</w:t>
            </w:r>
          </w:p>
        </w:tc>
        <w:tc>
          <w:tcPr>
            <w:tcW w:w="400" w:type="dxa"/>
            <w:vAlign w:val="bottom"/>
          </w:tcPr>
          <w:p>
            <w:pPr>
              <w:spacing w:after="0"/>
              <w:rPr>
                <w:sz w:val="18"/>
                <w:szCs w:val="18"/>
                <w:color w:val="auto"/>
              </w:rPr>
            </w:pPr>
          </w:p>
        </w:tc>
        <w:tc>
          <w:tcPr>
            <w:tcW w:w="11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332</w:t>
            </w:r>
          </w:p>
        </w:tc>
        <w:tc>
          <w:tcPr>
            <w:tcW w:w="420" w:type="dxa"/>
            <w:vAlign w:val="bottom"/>
          </w:tcPr>
          <w:p>
            <w:pPr>
              <w:spacing w:after="0"/>
              <w:rPr>
                <w:sz w:val="18"/>
                <w:szCs w:val="18"/>
                <w:color w:val="auto"/>
              </w:rPr>
            </w:pPr>
          </w:p>
        </w:tc>
        <w:tc>
          <w:tcPr>
            <w:tcW w:w="11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836</w:t>
            </w:r>
          </w:p>
        </w:tc>
      </w:tr>
      <w:tr>
        <w:trPr>
          <w:trHeight w:val="209"/>
        </w:trPr>
        <w:tc>
          <w:tcPr>
            <w:tcW w:w="4760" w:type="dxa"/>
            <w:vAlign w:val="bottom"/>
            <w:shd w:val="clear" w:color="auto" w:fill="F4F4F4"/>
          </w:tcPr>
          <w:p>
            <w:pPr>
              <w:ind w:left="300"/>
              <w:spacing w:after="0"/>
              <w:rPr>
                <w:sz w:val="20"/>
                <w:szCs w:val="20"/>
                <w:color w:val="auto"/>
              </w:rPr>
            </w:pPr>
            <w:r>
              <w:rPr>
                <w:rFonts w:ascii="Times New Roman" w:cs="Times New Roman" w:eastAsia="Times New Roman" w:hAnsi="Times New Roman"/>
                <w:sz w:val="16"/>
                <w:szCs w:val="16"/>
                <w:color w:val="auto"/>
              </w:rPr>
              <w:t>Salaries, wages, and related</w:t>
            </w:r>
          </w:p>
        </w:tc>
        <w:tc>
          <w:tcPr>
            <w:tcW w:w="760" w:type="dxa"/>
            <w:vAlign w:val="bottom"/>
            <w:shd w:val="clear" w:color="auto" w:fill="F4F4F4"/>
          </w:tcPr>
          <w:p>
            <w:pPr>
              <w:spacing w:after="0"/>
              <w:rPr>
                <w:sz w:val="18"/>
                <w:szCs w:val="18"/>
                <w:color w:val="auto"/>
              </w:rPr>
            </w:pPr>
          </w:p>
        </w:tc>
        <w:tc>
          <w:tcPr>
            <w:tcW w:w="112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color w:val="auto"/>
              </w:rPr>
              <w:t>513</w:t>
            </w:r>
          </w:p>
        </w:tc>
        <w:tc>
          <w:tcPr>
            <w:tcW w:w="400" w:type="dxa"/>
            <w:vAlign w:val="bottom"/>
            <w:shd w:val="clear" w:color="auto" w:fill="F4F4F4"/>
          </w:tcPr>
          <w:p>
            <w:pPr>
              <w:spacing w:after="0"/>
              <w:rPr>
                <w:sz w:val="18"/>
                <w:szCs w:val="18"/>
                <w:color w:val="auto"/>
              </w:rPr>
            </w:pPr>
          </w:p>
        </w:tc>
        <w:tc>
          <w:tcPr>
            <w:tcW w:w="112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color w:val="auto"/>
              </w:rPr>
              <w:t>707</w:t>
            </w:r>
          </w:p>
        </w:tc>
        <w:tc>
          <w:tcPr>
            <w:tcW w:w="400" w:type="dxa"/>
            <w:vAlign w:val="bottom"/>
            <w:shd w:val="clear" w:color="auto" w:fill="F4F4F4"/>
          </w:tcPr>
          <w:p>
            <w:pPr>
              <w:spacing w:after="0"/>
              <w:rPr>
                <w:sz w:val="18"/>
                <w:szCs w:val="18"/>
                <w:color w:val="auto"/>
              </w:rPr>
            </w:pPr>
          </w:p>
        </w:tc>
        <w:tc>
          <w:tcPr>
            <w:tcW w:w="116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color w:val="auto"/>
              </w:rPr>
              <w:t>1,239</w:t>
            </w:r>
          </w:p>
        </w:tc>
        <w:tc>
          <w:tcPr>
            <w:tcW w:w="420" w:type="dxa"/>
            <w:vAlign w:val="bottom"/>
            <w:shd w:val="clear" w:color="auto" w:fill="F4F4F4"/>
          </w:tcPr>
          <w:p>
            <w:pPr>
              <w:spacing w:after="0"/>
              <w:rPr>
                <w:sz w:val="18"/>
                <w:szCs w:val="18"/>
                <w:color w:val="auto"/>
              </w:rPr>
            </w:pPr>
          </w:p>
        </w:tc>
        <w:tc>
          <w:tcPr>
            <w:tcW w:w="110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color w:val="auto"/>
              </w:rPr>
              <w:t>2,308</w:t>
            </w:r>
          </w:p>
        </w:tc>
      </w:tr>
      <w:tr>
        <w:trPr>
          <w:trHeight w:val="209"/>
        </w:trPr>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Internet and hosting</w:t>
            </w:r>
          </w:p>
        </w:tc>
        <w:tc>
          <w:tcPr>
            <w:tcW w:w="760" w:type="dxa"/>
            <w:vAlign w:val="bottom"/>
          </w:tcPr>
          <w:p>
            <w:pPr>
              <w:spacing w:after="0"/>
              <w:rPr>
                <w:sz w:val="18"/>
                <w:szCs w:val="18"/>
                <w:color w:val="auto"/>
              </w:rPr>
            </w:pP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344</w:t>
            </w:r>
          </w:p>
        </w:tc>
        <w:tc>
          <w:tcPr>
            <w:tcW w:w="400" w:type="dxa"/>
            <w:vAlign w:val="bottom"/>
          </w:tcPr>
          <w:p>
            <w:pPr>
              <w:spacing w:after="0"/>
              <w:rPr>
                <w:sz w:val="18"/>
                <w:szCs w:val="18"/>
                <w:color w:val="auto"/>
              </w:rPr>
            </w:pP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199</w:t>
            </w:r>
          </w:p>
        </w:tc>
        <w:tc>
          <w:tcPr>
            <w:tcW w:w="400" w:type="dxa"/>
            <w:vAlign w:val="bottom"/>
          </w:tcPr>
          <w:p>
            <w:pPr>
              <w:spacing w:after="0"/>
              <w:rPr>
                <w:sz w:val="18"/>
                <w:szCs w:val="18"/>
                <w:color w:val="auto"/>
              </w:rPr>
            </w:pPr>
          </w:p>
        </w:tc>
        <w:tc>
          <w:tcPr>
            <w:tcW w:w="11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942</w:t>
            </w:r>
          </w:p>
        </w:tc>
        <w:tc>
          <w:tcPr>
            <w:tcW w:w="420" w:type="dxa"/>
            <w:vAlign w:val="bottom"/>
          </w:tcPr>
          <w:p>
            <w:pPr>
              <w:spacing w:after="0"/>
              <w:rPr>
                <w:sz w:val="18"/>
                <w:szCs w:val="18"/>
                <w:color w:val="auto"/>
              </w:rPr>
            </w:pPr>
          </w:p>
        </w:tc>
        <w:tc>
          <w:tcPr>
            <w:tcW w:w="11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570</w:t>
            </w:r>
          </w:p>
        </w:tc>
      </w:tr>
      <w:tr>
        <w:trPr>
          <w:trHeight w:val="209"/>
        </w:trPr>
        <w:tc>
          <w:tcPr>
            <w:tcW w:w="4760" w:type="dxa"/>
            <w:vAlign w:val="bottom"/>
            <w:shd w:val="clear" w:color="auto" w:fill="F4F4F4"/>
          </w:tcPr>
          <w:p>
            <w:pPr>
              <w:ind w:left="300"/>
              <w:spacing w:after="0"/>
              <w:rPr>
                <w:sz w:val="20"/>
                <w:szCs w:val="20"/>
                <w:color w:val="auto"/>
              </w:rPr>
            </w:pPr>
            <w:r>
              <w:rPr>
                <w:rFonts w:ascii="Times New Roman" w:cs="Times New Roman" w:eastAsia="Times New Roman" w:hAnsi="Times New Roman"/>
                <w:sz w:val="16"/>
                <w:szCs w:val="16"/>
                <w:color w:val="auto"/>
              </w:rPr>
              <w:t>Other expenses</w:t>
            </w:r>
          </w:p>
        </w:tc>
        <w:tc>
          <w:tcPr>
            <w:tcW w:w="760" w:type="dxa"/>
            <w:vAlign w:val="bottom"/>
            <w:shd w:val="clear" w:color="auto" w:fill="F4F4F4"/>
          </w:tcPr>
          <w:p>
            <w:pPr>
              <w:spacing w:after="0"/>
              <w:rPr>
                <w:sz w:val="18"/>
                <w:szCs w:val="18"/>
                <w:color w:val="auto"/>
              </w:rPr>
            </w:pPr>
          </w:p>
        </w:tc>
        <w:tc>
          <w:tcPr>
            <w:tcW w:w="112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color w:val="auto"/>
              </w:rPr>
              <w:t>123</w:t>
            </w:r>
          </w:p>
        </w:tc>
        <w:tc>
          <w:tcPr>
            <w:tcW w:w="400" w:type="dxa"/>
            <w:vAlign w:val="bottom"/>
            <w:shd w:val="clear" w:color="auto" w:fill="F4F4F4"/>
          </w:tcPr>
          <w:p>
            <w:pPr>
              <w:spacing w:after="0"/>
              <w:rPr>
                <w:sz w:val="18"/>
                <w:szCs w:val="18"/>
                <w:color w:val="auto"/>
              </w:rPr>
            </w:pPr>
          </w:p>
        </w:tc>
        <w:tc>
          <w:tcPr>
            <w:tcW w:w="112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color w:val="auto"/>
              </w:rPr>
              <w:t>213</w:t>
            </w:r>
          </w:p>
        </w:tc>
        <w:tc>
          <w:tcPr>
            <w:tcW w:w="400" w:type="dxa"/>
            <w:vAlign w:val="bottom"/>
            <w:shd w:val="clear" w:color="auto" w:fill="F4F4F4"/>
          </w:tcPr>
          <w:p>
            <w:pPr>
              <w:spacing w:after="0"/>
              <w:rPr>
                <w:sz w:val="18"/>
                <w:szCs w:val="18"/>
                <w:color w:val="auto"/>
              </w:rPr>
            </w:pPr>
          </w:p>
        </w:tc>
        <w:tc>
          <w:tcPr>
            <w:tcW w:w="116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color w:val="auto"/>
              </w:rPr>
              <w:t>400</w:t>
            </w:r>
          </w:p>
        </w:tc>
        <w:tc>
          <w:tcPr>
            <w:tcW w:w="420" w:type="dxa"/>
            <w:vAlign w:val="bottom"/>
            <w:shd w:val="clear" w:color="auto" w:fill="F4F4F4"/>
          </w:tcPr>
          <w:p>
            <w:pPr>
              <w:spacing w:after="0"/>
              <w:rPr>
                <w:sz w:val="18"/>
                <w:szCs w:val="18"/>
                <w:color w:val="auto"/>
              </w:rPr>
            </w:pPr>
          </w:p>
        </w:tc>
        <w:tc>
          <w:tcPr>
            <w:tcW w:w="110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color w:val="auto"/>
              </w:rPr>
              <w:t>580</w:t>
            </w:r>
          </w:p>
        </w:tc>
      </w:tr>
      <w:tr>
        <w:trPr>
          <w:trHeight w:val="209"/>
        </w:trPr>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w:t>
            </w:r>
          </w:p>
        </w:tc>
        <w:tc>
          <w:tcPr>
            <w:tcW w:w="760" w:type="dxa"/>
            <w:vAlign w:val="bottom"/>
          </w:tcPr>
          <w:p>
            <w:pPr>
              <w:spacing w:after="0"/>
              <w:rPr>
                <w:sz w:val="18"/>
                <w:szCs w:val="18"/>
                <w:color w:val="auto"/>
              </w:rPr>
            </w:pP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18"/>
                <w:szCs w:val="18"/>
                <w:color w:val="auto"/>
              </w:rPr>
            </w:pP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w:t>
            </w:r>
          </w:p>
        </w:tc>
        <w:tc>
          <w:tcPr>
            <w:tcW w:w="400" w:type="dxa"/>
            <w:vAlign w:val="bottom"/>
          </w:tcPr>
          <w:p>
            <w:pPr>
              <w:spacing w:after="0"/>
              <w:rPr>
                <w:sz w:val="18"/>
                <w:szCs w:val="18"/>
                <w:color w:val="auto"/>
              </w:rPr>
            </w:pPr>
          </w:p>
        </w:tc>
        <w:tc>
          <w:tcPr>
            <w:tcW w:w="11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6</w:t>
            </w:r>
          </w:p>
        </w:tc>
        <w:tc>
          <w:tcPr>
            <w:tcW w:w="420" w:type="dxa"/>
            <w:vAlign w:val="bottom"/>
          </w:tcPr>
          <w:p>
            <w:pPr>
              <w:spacing w:after="0"/>
              <w:rPr>
                <w:sz w:val="18"/>
                <w:szCs w:val="18"/>
                <w:color w:val="auto"/>
              </w:rPr>
            </w:pPr>
          </w:p>
        </w:tc>
        <w:tc>
          <w:tcPr>
            <w:tcW w:w="11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17</w:t>
            </w:r>
          </w:p>
        </w:tc>
      </w:tr>
      <w:tr>
        <w:trPr>
          <w:trHeight w:val="209"/>
        </w:trPr>
        <w:tc>
          <w:tcPr>
            <w:tcW w:w="4760" w:type="dxa"/>
            <w:vAlign w:val="bottom"/>
            <w:shd w:val="clear" w:color="auto" w:fill="F4F4F4"/>
          </w:tcPr>
          <w:p>
            <w:pPr>
              <w:ind w:left="300"/>
              <w:spacing w:after="0"/>
              <w:rPr>
                <w:sz w:val="20"/>
                <w:szCs w:val="20"/>
                <w:color w:val="auto"/>
              </w:rPr>
            </w:pPr>
            <w:r>
              <w:rPr>
                <w:rFonts w:ascii="Times New Roman" w:cs="Times New Roman" w:eastAsia="Times New Roman" w:hAnsi="Times New Roman"/>
                <w:sz w:val="16"/>
                <w:szCs w:val="16"/>
                <w:color w:val="auto"/>
              </w:rPr>
              <w:t>Other services</w:t>
            </w:r>
          </w:p>
        </w:tc>
        <w:tc>
          <w:tcPr>
            <w:tcW w:w="760" w:type="dxa"/>
            <w:vAlign w:val="bottom"/>
            <w:shd w:val="clear" w:color="auto" w:fill="F4F4F4"/>
          </w:tcPr>
          <w:p>
            <w:pPr>
              <w:spacing w:after="0"/>
              <w:rPr>
                <w:sz w:val="18"/>
                <w:szCs w:val="18"/>
                <w:color w:val="auto"/>
              </w:rPr>
            </w:pPr>
          </w:p>
        </w:tc>
        <w:tc>
          <w:tcPr>
            <w:tcW w:w="112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color w:val="auto"/>
              </w:rPr>
              <w:t>717</w:t>
            </w:r>
          </w:p>
        </w:tc>
        <w:tc>
          <w:tcPr>
            <w:tcW w:w="400" w:type="dxa"/>
            <w:vAlign w:val="bottom"/>
            <w:shd w:val="clear" w:color="auto" w:fill="F4F4F4"/>
          </w:tcPr>
          <w:p>
            <w:pPr>
              <w:spacing w:after="0"/>
              <w:rPr>
                <w:sz w:val="18"/>
                <w:szCs w:val="18"/>
                <w:color w:val="auto"/>
              </w:rPr>
            </w:pPr>
          </w:p>
        </w:tc>
        <w:tc>
          <w:tcPr>
            <w:tcW w:w="112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color w:val="auto"/>
              </w:rPr>
              <w:t>616</w:t>
            </w:r>
          </w:p>
        </w:tc>
        <w:tc>
          <w:tcPr>
            <w:tcW w:w="400" w:type="dxa"/>
            <w:vAlign w:val="bottom"/>
            <w:shd w:val="clear" w:color="auto" w:fill="F4F4F4"/>
          </w:tcPr>
          <w:p>
            <w:pPr>
              <w:spacing w:after="0"/>
              <w:rPr>
                <w:sz w:val="18"/>
                <w:szCs w:val="18"/>
                <w:color w:val="auto"/>
              </w:rPr>
            </w:pPr>
          </w:p>
        </w:tc>
        <w:tc>
          <w:tcPr>
            <w:tcW w:w="116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color w:val="auto"/>
              </w:rPr>
              <w:t>2,286</w:t>
            </w:r>
          </w:p>
        </w:tc>
        <w:tc>
          <w:tcPr>
            <w:tcW w:w="420" w:type="dxa"/>
            <w:vAlign w:val="bottom"/>
            <w:shd w:val="clear" w:color="auto" w:fill="F4F4F4"/>
          </w:tcPr>
          <w:p>
            <w:pPr>
              <w:spacing w:after="0"/>
              <w:rPr>
                <w:sz w:val="18"/>
                <w:szCs w:val="18"/>
                <w:color w:val="auto"/>
              </w:rPr>
            </w:pPr>
          </w:p>
        </w:tc>
        <w:tc>
          <w:tcPr>
            <w:tcW w:w="110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color w:val="auto"/>
              </w:rPr>
              <w:t>1,856</w:t>
            </w:r>
          </w:p>
        </w:tc>
      </w:tr>
      <w:tr>
        <w:trPr>
          <w:trHeight w:val="209"/>
        </w:trPr>
        <w:tc>
          <w:tcPr>
            <w:tcW w:w="4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Merchant-related fees</w:t>
            </w: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295</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204</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820</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534</w:t>
            </w:r>
          </w:p>
        </w:tc>
      </w:tr>
      <w:tr>
        <w:trPr>
          <w:trHeight w:val="201"/>
        </w:trPr>
        <w:tc>
          <w:tcPr>
            <w:tcW w:w="4760" w:type="dxa"/>
            <w:vAlign w:val="bottom"/>
            <w:shd w:val="clear" w:color="auto" w:fill="F4F4F4"/>
          </w:tcPr>
          <w:p>
            <w:pPr>
              <w:ind w:left="160"/>
              <w:spacing w:after="0"/>
              <w:rPr>
                <w:sz w:val="20"/>
                <w:szCs w:val="20"/>
                <w:color w:val="auto"/>
              </w:rPr>
            </w:pPr>
            <w:r>
              <w:rPr>
                <w:rFonts w:ascii="Times New Roman" w:cs="Times New Roman" w:eastAsia="Times New Roman" w:hAnsi="Times New Roman"/>
                <w:sz w:val="16"/>
                <w:szCs w:val="16"/>
                <w:b w:val="1"/>
                <w:bCs w:val="1"/>
                <w:color w:val="auto"/>
              </w:rPr>
              <w:t>Contribution</w:t>
            </w:r>
          </w:p>
        </w:tc>
        <w:tc>
          <w:tcPr>
            <w:tcW w:w="760" w:type="dxa"/>
            <w:vAlign w:val="bottom"/>
            <w:shd w:val="clear" w:color="auto" w:fill="F4F4F4"/>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57,404</w:t>
            </w:r>
          </w:p>
        </w:tc>
        <w:tc>
          <w:tcPr>
            <w:tcW w:w="400" w:type="dxa"/>
            <w:vAlign w:val="bottom"/>
            <w:shd w:val="clear" w:color="auto" w:fill="F4F4F4"/>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45,615</w:t>
            </w:r>
          </w:p>
        </w:tc>
        <w:tc>
          <w:tcPr>
            <w:tcW w:w="400" w:type="dxa"/>
            <w:vAlign w:val="bottom"/>
            <w:shd w:val="clear" w:color="auto" w:fill="F4F4F4"/>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153,226</w:t>
            </w:r>
          </w:p>
        </w:tc>
        <w:tc>
          <w:tcPr>
            <w:tcW w:w="420" w:type="dxa"/>
            <w:vAlign w:val="bottom"/>
            <w:shd w:val="clear" w:color="auto" w:fill="F4F4F4"/>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F4F4F4"/>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129,433</w:t>
            </w:r>
          </w:p>
        </w:tc>
      </w:tr>
      <w:tr>
        <w:trPr>
          <w:trHeight w:val="209"/>
        </w:trPr>
        <w:tc>
          <w:tcPr>
            <w:tcW w:w="4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margin</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14.9 %</w:t>
            </w:r>
          </w:p>
        </w:tc>
      </w:tr>
      <w:tr>
        <w:trPr>
          <w:trHeight w:val="209"/>
        </w:trPr>
        <w:tc>
          <w:tcPr>
            <w:tcW w:w="4760" w:type="dxa"/>
            <w:vAlign w:val="bottom"/>
            <w:shd w:val="clear" w:color="auto" w:fill="F4F4F4"/>
          </w:tcPr>
          <w:p>
            <w:pPr>
              <w:ind w:left="160"/>
              <w:spacing w:after="0"/>
              <w:rPr>
                <w:sz w:val="20"/>
                <w:szCs w:val="20"/>
                <w:color w:val="auto"/>
              </w:rPr>
            </w:pPr>
            <w:r>
              <w:rPr>
                <w:rFonts w:ascii="Times New Roman" w:cs="Times New Roman" w:eastAsia="Times New Roman" w:hAnsi="Times New Roman"/>
                <w:sz w:val="16"/>
                <w:szCs w:val="16"/>
                <w:color w:val="auto"/>
              </w:rPr>
              <w:t>Contribution Margin</w:t>
            </w:r>
          </w:p>
        </w:tc>
        <w:tc>
          <w:tcPr>
            <w:tcW w:w="760" w:type="dxa"/>
            <w:vAlign w:val="bottom"/>
            <w:shd w:val="clear" w:color="auto" w:fill="F4F4F4"/>
          </w:tcPr>
          <w:p>
            <w:pPr>
              <w:spacing w:after="0"/>
              <w:rPr>
                <w:sz w:val="18"/>
                <w:szCs w:val="18"/>
                <w:color w:val="auto"/>
              </w:rPr>
            </w:pPr>
          </w:p>
        </w:tc>
        <w:tc>
          <w:tcPr>
            <w:tcW w:w="112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400" w:type="dxa"/>
            <w:vAlign w:val="bottom"/>
            <w:shd w:val="clear" w:color="auto" w:fill="F4F4F4"/>
          </w:tcPr>
          <w:p>
            <w:pPr>
              <w:spacing w:after="0"/>
              <w:rPr>
                <w:sz w:val="18"/>
                <w:szCs w:val="18"/>
                <w:color w:val="auto"/>
              </w:rPr>
            </w:pPr>
          </w:p>
        </w:tc>
        <w:tc>
          <w:tcPr>
            <w:tcW w:w="112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400" w:type="dxa"/>
            <w:vAlign w:val="bottom"/>
            <w:shd w:val="clear" w:color="auto" w:fill="F4F4F4"/>
          </w:tcPr>
          <w:p>
            <w:pPr>
              <w:spacing w:after="0"/>
              <w:rPr>
                <w:sz w:val="18"/>
                <w:szCs w:val="18"/>
                <w:color w:val="auto"/>
              </w:rPr>
            </w:pPr>
          </w:p>
        </w:tc>
        <w:tc>
          <w:tcPr>
            <w:tcW w:w="116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420" w:type="dxa"/>
            <w:vAlign w:val="bottom"/>
            <w:shd w:val="clear" w:color="auto" w:fill="F4F4F4"/>
          </w:tcPr>
          <w:p>
            <w:pPr>
              <w:spacing w:after="0"/>
              <w:rPr>
                <w:sz w:val="18"/>
                <w:szCs w:val="18"/>
                <w:color w:val="auto"/>
              </w:rPr>
            </w:pPr>
          </w:p>
        </w:tc>
        <w:tc>
          <w:tcPr>
            <w:tcW w:w="110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15.7 %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780"/>
        <w:spacing w:after="0"/>
        <w:rPr>
          <w:sz w:val="20"/>
          <w:szCs w:val="20"/>
          <w:color w:val="auto"/>
        </w:rPr>
      </w:pPr>
      <w:r>
        <w:rPr>
          <w:rFonts w:ascii="Arial" w:cs="Arial" w:eastAsia="Arial" w:hAnsi="Arial"/>
          <w:sz w:val="16"/>
          <w:szCs w:val="16"/>
          <w:color w:val="F36D4D"/>
        </w:rPr>
        <w:t>10</w:t>
      </w:r>
    </w:p>
    <w:p>
      <w:pPr>
        <w:sectPr>
          <w:pgSz w:w="11900" w:h="16838" w:orient="portrait"/>
          <w:cols w:equalWidth="0" w:num="1">
            <w:col w:w="11240"/>
          </w:cols>
          <w:pgMar w:left="320" w:top="371" w:right="339" w:bottom="1440" w:gutter="0" w:footer="0" w:header="0"/>
        </w:sectPr>
      </w:pPr>
    </w:p>
    <w:bookmarkStart w:id="24" w:name="page25"/>
    <w:bookmarkEnd w:id="24"/>
    <w:p>
      <w:pPr>
        <w:ind w:left="60"/>
        <w:spacing w:after="0"/>
        <w:tabs>
          <w:tab w:leader="none" w:pos="1160" w:val="left"/>
        </w:tabs>
        <w:rPr>
          <w:sz w:val="20"/>
          <w:szCs w:val="20"/>
          <w:color w:val="auto"/>
        </w:rPr>
      </w:pPr>
      <w:r>
        <w:rPr>
          <w:rFonts w:ascii="Times New Roman" w:cs="Times New Roman" w:eastAsia="Times New Roman" w:hAnsi="Times New Roman"/>
          <w:sz w:val="15"/>
          <w:szCs w:val="15"/>
          <w:b w:val="1"/>
          <w:bCs w:val="1"/>
          <w:color w:val="F04A22"/>
        </w:rPr>
        <w:drawing>
          <wp:anchor simplePos="0" relativeHeight="251657728" behindDoc="1" locked="0" layoutInCell="0" allowOverlap="1">
            <wp:simplePos x="0" y="0"/>
            <wp:positionH relativeFrom="page">
              <wp:posOffset>201930</wp:posOffset>
            </wp:positionH>
            <wp:positionV relativeFrom="page">
              <wp:posOffset>104775</wp:posOffset>
            </wp:positionV>
            <wp:extent cx="7144385" cy="62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4385" cy="62230"/>
                    </a:xfrm>
                    <a:prstGeom prst="rect">
                      <a:avLst/>
                    </a:prstGeom>
                    <a:noFill/>
                  </pic:spPr>
                </pic:pic>
              </a:graphicData>
            </a:graphic>
          </wp:anchor>
        </w:drawing>
        <w:t>MediaAlpha</w:t>
      </w:r>
      <w:r>
        <w:rPr>
          <w:sz w:val="20"/>
          <w:szCs w:val="20"/>
          <w:color w:val="auto"/>
        </w:rPr>
        <w:tab/>
      </w:r>
      <w:r>
        <w:rPr>
          <w:rFonts w:ascii="Times New Roman" w:cs="Times New Roman" w:eastAsia="Times New Roman" w:hAnsi="Times New Roman"/>
          <w:sz w:val="15"/>
          <w:szCs w:val="15"/>
          <w:color w:val="6B6B6B"/>
        </w:rPr>
        <w:t>Investor Supplement ·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714438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b w:val="1"/>
          <w:bCs w:val="1"/>
          <w:color w:val="auto"/>
        </w:rPr>
        <w:t>Adjusted EBITDA to Net Income (Loss)</w:t>
      </w:r>
    </w:p>
    <w:p>
      <w:pPr>
        <w:spacing w:after="0" w:line="1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define “Adjusted EBITDA” as net income (loss) excluding interest expense, income tax expense (benefit), depreciation expense on property and equipment, amortization of intangible assets, as well as equity-based compensation expense and certain other adjustments as listed in the table below. We define “Adjusted EBITDA Margin” as Adjusted EBITDA as a percentage of revenue. Adjusted EBITDA is a non-GAAP financial measure that we present to supplement the financial information we present on a GAAP basis. We monitor and present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 the overall understanding of our past performance and future prospects. In addition, presenting Adjusted EBITDA provides investors with a metric to evaluate the capital efficiency of our business. 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accordance with GAAP. These limitations include the fact that Adjusted EBITDA excludes interest expense on debt, income tax expense (benefit), equity-based compensation expense, depreciation and amortization, and certain other adjustments that we consider to be useful to investors and others in understanding and evaluating our operating results. In addition, other companies may use other measures to evaluate their performance, including different definitions of “Adjusted EBITDA,” which could reduce the usefulness of our Adjusted EBITDA as a tool for comparison.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Adjusted EBITDA with net income (loss), the most directly comparable financial measure calculated and presented in accordance with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for the three and nine months ended September 30, 2026 and 2025: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2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6"/>
                <w:szCs w:val="16"/>
                <w:b w:val="1"/>
                <w:bCs w:val="1"/>
                <w:color w:val="FFFFFF"/>
              </w:rPr>
              <w:t>(in thousands)</w:t>
            </w:r>
          </w:p>
        </w:tc>
        <w:tc>
          <w:tcPr>
            <w:tcW w:w="1080" w:type="dxa"/>
            <w:vAlign w:val="bottom"/>
            <w:shd w:val="clear" w:color="auto" w:fill="000000"/>
          </w:tcPr>
          <w:p>
            <w:pPr>
              <w:spacing w:after="0"/>
              <w:rPr>
                <w:sz w:val="18"/>
                <w:szCs w:val="18"/>
                <w:color w:val="auto"/>
              </w:rPr>
            </w:pPr>
          </w:p>
        </w:tc>
        <w:tc>
          <w:tcPr>
            <w:tcW w:w="10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Q3 2026</w:t>
            </w:r>
          </w:p>
        </w:tc>
        <w:tc>
          <w:tcPr>
            <w:tcW w:w="460" w:type="dxa"/>
            <w:vAlign w:val="bottom"/>
            <w:shd w:val="clear" w:color="auto" w:fill="000000"/>
          </w:tcPr>
          <w:p>
            <w:pPr>
              <w:spacing w:after="0"/>
              <w:rPr>
                <w:sz w:val="18"/>
                <w:szCs w:val="18"/>
                <w:color w:val="auto"/>
              </w:rPr>
            </w:pPr>
          </w:p>
        </w:tc>
        <w:tc>
          <w:tcPr>
            <w:tcW w:w="9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Q3 2025</w:t>
            </w:r>
          </w:p>
        </w:tc>
        <w:tc>
          <w:tcPr>
            <w:tcW w:w="420" w:type="dxa"/>
            <w:vAlign w:val="bottom"/>
            <w:shd w:val="clear" w:color="auto" w:fill="000000"/>
          </w:tcPr>
          <w:p>
            <w:pPr>
              <w:spacing w:after="0"/>
              <w:rPr>
                <w:sz w:val="18"/>
                <w:szCs w:val="18"/>
                <w:color w:val="auto"/>
              </w:rPr>
            </w:pPr>
          </w:p>
        </w:tc>
        <w:tc>
          <w:tcPr>
            <w:tcW w:w="10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9mo 2026</w:t>
            </w:r>
          </w:p>
        </w:tc>
        <w:tc>
          <w:tcPr>
            <w:tcW w:w="400" w:type="dxa"/>
            <w:vAlign w:val="bottom"/>
            <w:shd w:val="clear" w:color="auto" w:fill="000000"/>
          </w:tcPr>
          <w:p>
            <w:pPr>
              <w:spacing w:after="0"/>
              <w:rPr>
                <w:sz w:val="18"/>
                <w:szCs w:val="18"/>
                <w:color w:val="auto"/>
              </w:rPr>
            </w:pPr>
          </w:p>
        </w:tc>
        <w:tc>
          <w:tcPr>
            <w:tcW w:w="10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9mo 2025</w:t>
            </w:r>
          </w:p>
        </w:tc>
      </w:tr>
      <w:tr>
        <w:trPr>
          <w:trHeight w:val="209"/>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8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29,360</w:t>
            </w:r>
          </w:p>
        </w:tc>
        <w:tc>
          <w:tcPr>
            <w:tcW w:w="4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17,643</w:t>
            </w:r>
          </w:p>
        </w:tc>
        <w:tc>
          <w:tcPr>
            <w:tcW w:w="42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85,189</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(7,224)</w:t>
            </w:r>
          </w:p>
        </w:tc>
      </w:tr>
      <w:tr>
        <w:trPr>
          <w:trHeight w:val="209"/>
        </w:trPr>
        <w:tc>
          <w:tcPr>
            <w:tcW w:w="4820" w:type="dxa"/>
            <w:vAlign w:val="bottom"/>
            <w:shd w:val="clear" w:color="auto" w:fill="F4F4F4"/>
          </w:tcPr>
          <w:p>
            <w:pPr>
              <w:ind w:left="22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080" w:type="dxa"/>
            <w:vAlign w:val="bottom"/>
            <w:shd w:val="clear" w:color="auto" w:fill="F4F4F4"/>
          </w:tcPr>
          <w:p>
            <w:pPr>
              <w:spacing w:after="0"/>
              <w:rPr>
                <w:sz w:val="18"/>
                <w:szCs w:val="18"/>
                <w:color w:val="auto"/>
              </w:rPr>
            </w:pPr>
          </w:p>
        </w:tc>
        <w:tc>
          <w:tcPr>
            <w:tcW w:w="100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8,123</w:t>
            </w:r>
          </w:p>
        </w:tc>
        <w:tc>
          <w:tcPr>
            <w:tcW w:w="460" w:type="dxa"/>
            <w:vAlign w:val="bottom"/>
            <w:shd w:val="clear" w:color="auto" w:fill="F4F4F4"/>
          </w:tcPr>
          <w:p>
            <w:pPr>
              <w:spacing w:after="0"/>
              <w:rPr>
                <w:sz w:val="18"/>
                <w:szCs w:val="18"/>
                <w:color w:val="auto"/>
              </w:rPr>
            </w:pPr>
          </w:p>
        </w:tc>
        <w:tc>
          <w:tcPr>
            <w:tcW w:w="9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7,662</w:t>
            </w:r>
          </w:p>
        </w:tc>
        <w:tc>
          <w:tcPr>
            <w:tcW w:w="42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23,854</w:t>
            </w:r>
          </w:p>
        </w:tc>
        <w:tc>
          <w:tcPr>
            <w:tcW w:w="40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22,798</w:t>
            </w:r>
          </w:p>
        </w:tc>
      </w:tr>
      <w:tr>
        <w:trPr>
          <w:trHeight w:val="209"/>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8,633</w:t>
            </w:r>
          </w:p>
        </w:tc>
      </w:tr>
      <w:tr>
        <w:trPr>
          <w:trHeight w:val="209"/>
        </w:trPr>
        <w:tc>
          <w:tcPr>
            <w:tcW w:w="4820" w:type="dxa"/>
            <w:vAlign w:val="bottom"/>
            <w:shd w:val="clear" w:color="auto" w:fill="F4F4F4"/>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1080" w:type="dxa"/>
            <w:vAlign w:val="bottom"/>
            <w:shd w:val="clear" w:color="auto" w:fill="F4F4F4"/>
          </w:tcPr>
          <w:p>
            <w:pPr>
              <w:spacing w:after="0"/>
              <w:rPr>
                <w:sz w:val="18"/>
                <w:szCs w:val="18"/>
                <w:color w:val="auto"/>
              </w:rPr>
            </w:pPr>
          </w:p>
        </w:tc>
        <w:tc>
          <w:tcPr>
            <w:tcW w:w="100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7,807</w:t>
            </w:r>
          </w:p>
        </w:tc>
        <w:tc>
          <w:tcPr>
            <w:tcW w:w="460" w:type="dxa"/>
            <w:vAlign w:val="bottom"/>
            <w:shd w:val="clear" w:color="auto" w:fill="F4F4F4"/>
          </w:tcPr>
          <w:p>
            <w:pPr>
              <w:spacing w:after="0"/>
              <w:rPr>
                <w:sz w:val="18"/>
                <w:szCs w:val="18"/>
                <w:color w:val="auto"/>
              </w:rPr>
            </w:pPr>
          </w:p>
        </w:tc>
        <w:tc>
          <w:tcPr>
            <w:tcW w:w="9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2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27,617</w:t>
            </w:r>
          </w:p>
        </w:tc>
        <w:tc>
          <w:tcPr>
            <w:tcW w:w="40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09"/>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expense on property and equipment</w:t>
            </w:r>
          </w:p>
        </w:tc>
        <w:tc>
          <w:tcPr>
            <w:tcW w:w="10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9"/>
        </w:trPr>
        <w:tc>
          <w:tcPr>
            <w:tcW w:w="4820" w:type="dxa"/>
            <w:vAlign w:val="bottom"/>
            <w:shd w:val="clear" w:color="auto" w:fill="F4F4F4"/>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80" w:type="dxa"/>
            <w:vAlign w:val="bottom"/>
            <w:shd w:val="clear" w:color="auto" w:fill="F4F4F4"/>
          </w:tcPr>
          <w:p>
            <w:pPr>
              <w:spacing w:after="0"/>
              <w:rPr>
                <w:sz w:val="18"/>
                <w:szCs w:val="18"/>
                <w:color w:val="auto"/>
              </w:rPr>
            </w:pPr>
          </w:p>
        </w:tc>
        <w:tc>
          <w:tcPr>
            <w:tcW w:w="100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460" w:type="dxa"/>
            <w:vAlign w:val="bottom"/>
            <w:shd w:val="clear" w:color="auto" w:fill="F4F4F4"/>
          </w:tcPr>
          <w:p>
            <w:pPr>
              <w:spacing w:after="0"/>
              <w:rPr>
                <w:sz w:val="18"/>
                <w:szCs w:val="18"/>
                <w:color w:val="auto"/>
              </w:rPr>
            </w:pPr>
          </w:p>
        </w:tc>
        <w:tc>
          <w:tcPr>
            <w:tcW w:w="9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42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40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2,467</w:t>
            </w:r>
          </w:p>
        </w:tc>
      </w:tr>
      <w:tr>
        <w:trPr>
          <w:trHeight w:val="209"/>
        </w:trPr>
        <w:tc>
          <w:tcPr>
            <w:tcW w:w="4820" w:type="dxa"/>
            <w:vAlign w:val="bottom"/>
          </w:tcPr>
          <w:p>
            <w:pPr>
              <w:ind w:left="220"/>
              <w:spacing w:after="0" w:line="209" w:lineRule="exact"/>
              <w:rPr>
                <w:sz w:val="20"/>
                <w:szCs w:val="20"/>
                <w:color w:val="auto"/>
              </w:rPr>
            </w:pPr>
            <w:r>
              <w:rPr>
                <w:rFonts w:ascii="Times New Roman" w:cs="Times New Roman" w:eastAsia="Times New Roman" w:hAnsi="Times New Roman"/>
                <w:sz w:val="16"/>
                <w:szCs w:val="16"/>
                <w:color w:val="auto"/>
              </w:rPr>
              <w:t>Transaction expenses</w:t>
            </w:r>
            <w:r>
              <w:rPr>
                <w:rFonts w:ascii="Times New Roman" w:cs="Times New Roman" w:eastAsia="Times New Roman" w:hAnsi="Times New Roman"/>
                <w:sz w:val="21"/>
                <w:szCs w:val="21"/>
                <w:color w:val="auto"/>
                <w:vertAlign w:val="superscript"/>
              </w:rPr>
              <w:t>(1)</w:t>
            </w:r>
          </w:p>
        </w:tc>
        <w:tc>
          <w:tcPr>
            <w:tcW w:w="10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09"/>
        </w:trPr>
        <w:tc>
          <w:tcPr>
            <w:tcW w:w="4820" w:type="dxa"/>
            <w:vAlign w:val="bottom"/>
            <w:shd w:val="clear" w:color="auto" w:fill="F4F4F4"/>
          </w:tcPr>
          <w:p>
            <w:pPr>
              <w:ind w:left="220"/>
              <w:spacing w:after="0" w:line="209" w:lineRule="exact"/>
              <w:rPr>
                <w:sz w:val="20"/>
                <w:szCs w:val="20"/>
                <w:color w:val="auto"/>
              </w:rPr>
            </w:pPr>
            <w:r>
              <w:rPr>
                <w:rFonts w:ascii="Times New Roman" w:cs="Times New Roman" w:eastAsia="Times New Roman" w:hAnsi="Times New Roman"/>
                <w:sz w:val="16"/>
                <w:szCs w:val="16"/>
                <w:color w:val="auto"/>
              </w:rPr>
              <w:t>Personnel separation costs</w:t>
            </w:r>
            <w:r>
              <w:rPr>
                <w:rFonts w:ascii="Times New Roman" w:cs="Times New Roman" w:eastAsia="Times New Roman" w:hAnsi="Times New Roman"/>
                <w:sz w:val="21"/>
                <w:szCs w:val="21"/>
                <w:color w:val="auto"/>
                <w:vertAlign w:val="superscript"/>
              </w:rPr>
              <w:t>(2)</w:t>
            </w:r>
          </w:p>
        </w:tc>
        <w:tc>
          <w:tcPr>
            <w:tcW w:w="1080" w:type="dxa"/>
            <w:vAlign w:val="bottom"/>
            <w:shd w:val="clear" w:color="auto" w:fill="F4F4F4"/>
          </w:tcPr>
          <w:p>
            <w:pPr>
              <w:spacing w:after="0"/>
              <w:rPr>
                <w:sz w:val="18"/>
                <w:szCs w:val="18"/>
                <w:color w:val="auto"/>
              </w:rPr>
            </w:pPr>
          </w:p>
        </w:tc>
        <w:tc>
          <w:tcPr>
            <w:tcW w:w="100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460" w:type="dxa"/>
            <w:vAlign w:val="bottom"/>
            <w:shd w:val="clear" w:color="auto" w:fill="F4F4F4"/>
          </w:tcPr>
          <w:p>
            <w:pPr>
              <w:spacing w:after="0"/>
              <w:rPr>
                <w:sz w:val="18"/>
                <w:szCs w:val="18"/>
                <w:color w:val="auto"/>
              </w:rPr>
            </w:pPr>
          </w:p>
        </w:tc>
        <w:tc>
          <w:tcPr>
            <w:tcW w:w="9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40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820" w:type="dxa"/>
            <w:vAlign w:val="bottom"/>
          </w:tcPr>
          <w:p>
            <w:pPr>
              <w:ind w:left="220"/>
              <w:spacing w:after="0" w:line="209" w:lineRule="exact"/>
              <w:rPr>
                <w:sz w:val="20"/>
                <w:szCs w:val="20"/>
                <w:color w:val="auto"/>
              </w:rPr>
            </w:pPr>
            <w:r>
              <w:rPr>
                <w:rFonts w:ascii="Times New Roman" w:cs="Times New Roman" w:eastAsia="Times New Roman" w:hAnsi="Times New Roman"/>
                <w:sz w:val="16"/>
                <w:szCs w:val="16"/>
                <w:color w:val="auto"/>
              </w:rPr>
              <w:t>Write-off of intangible assets</w:t>
            </w:r>
            <w:r>
              <w:rPr>
                <w:rFonts w:ascii="Times New Roman" w:cs="Times New Roman" w:eastAsia="Times New Roman" w:hAnsi="Times New Roman"/>
                <w:sz w:val="21"/>
                <w:szCs w:val="21"/>
                <w:color w:val="auto"/>
                <w:vertAlign w:val="superscript"/>
              </w:rPr>
              <w:t>(3)</w:t>
            </w:r>
          </w:p>
        </w:tc>
        <w:tc>
          <w:tcPr>
            <w:tcW w:w="10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13,416</w:t>
            </w:r>
          </w:p>
        </w:tc>
      </w:tr>
      <w:tr>
        <w:trPr>
          <w:trHeight w:val="209"/>
        </w:trPr>
        <w:tc>
          <w:tcPr>
            <w:tcW w:w="4820" w:type="dxa"/>
            <w:vAlign w:val="bottom"/>
            <w:shd w:val="clear" w:color="auto" w:fill="F4F4F4"/>
          </w:tcPr>
          <w:p>
            <w:pPr>
              <w:ind w:left="220"/>
              <w:spacing w:after="0"/>
              <w:rPr>
                <w:sz w:val="20"/>
                <w:szCs w:val="20"/>
                <w:color w:val="auto"/>
              </w:rPr>
            </w:pPr>
            <w:r>
              <w:rPr>
                <w:rFonts w:ascii="Times New Roman" w:cs="Times New Roman" w:eastAsia="Times New Roman" w:hAnsi="Times New Roman"/>
                <w:sz w:val="16"/>
                <w:szCs w:val="16"/>
                <w:color w:val="auto"/>
              </w:rPr>
              <w:t>Gain on repurchase of interests in tax receivables agreement</w:t>
            </w:r>
          </w:p>
        </w:tc>
        <w:tc>
          <w:tcPr>
            <w:tcW w:w="1080" w:type="dxa"/>
            <w:vAlign w:val="bottom"/>
            <w:shd w:val="clear" w:color="auto" w:fill="F4F4F4"/>
          </w:tcPr>
          <w:p>
            <w:pPr>
              <w:spacing w:after="0"/>
              <w:rPr>
                <w:sz w:val="18"/>
                <w:szCs w:val="18"/>
                <w:color w:val="auto"/>
              </w:rPr>
            </w:pPr>
          </w:p>
        </w:tc>
        <w:tc>
          <w:tcPr>
            <w:tcW w:w="100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(10,733)</w:t>
            </w:r>
          </w:p>
        </w:tc>
        <w:tc>
          <w:tcPr>
            <w:tcW w:w="460" w:type="dxa"/>
            <w:vAlign w:val="bottom"/>
            <w:shd w:val="clear" w:color="auto" w:fill="F4F4F4"/>
          </w:tcPr>
          <w:p>
            <w:pPr>
              <w:spacing w:after="0"/>
              <w:rPr>
                <w:sz w:val="18"/>
                <w:szCs w:val="18"/>
                <w:color w:val="auto"/>
              </w:rPr>
            </w:pPr>
          </w:p>
        </w:tc>
        <w:tc>
          <w:tcPr>
            <w:tcW w:w="9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(48,384)</w:t>
            </w:r>
          </w:p>
        </w:tc>
        <w:tc>
          <w:tcPr>
            <w:tcW w:w="40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820" w:type="dxa"/>
            <w:vAlign w:val="bottom"/>
          </w:tcPr>
          <w:p>
            <w:pPr>
              <w:ind w:left="220"/>
              <w:spacing w:after="0" w:line="209" w:lineRule="exact"/>
              <w:rPr>
                <w:sz w:val="20"/>
                <w:szCs w:val="20"/>
                <w:color w:val="auto"/>
              </w:rPr>
            </w:pPr>
            <w:r>
              <w:rPr>
                <w:rFonts w:ascii="Times New Roman" w:cs="Times New Roman" w:eastAsia="Times New Roman" w:hAnsi="Times New Roman"/>
                <w:sz w:val="16"/>
                <w:szCs w:val="16"/>
                <w:color w:val="auto"/>
              </w:rPr>
              <w:t>Changes in TRA related liability</w:t>
            </w:r>
            <w:r>
              <w:rPr>
                <w:rFonts w:ascii="Times New Roman" w:cs="Times New Roman" w:eastAsia="Times New Roman" w:hAnsi="Times New Roman"/>
                <w:sz w:val="21"/>
                <w:szCs w:val="21"/>
                <w:color w:val="auto"/>
                <w:vertAlign w:val="superscript"/>
              </w:rPr>
              <w:t>(4)</w:t>
            </w:r>
          </w:p>
        </w:tc>
        <w:tc>
          <w:tcPr>
            <w:tcW w:w="10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9"/>
        </w:trPr>
        <w:tc>
          <w:tcPr>
            <w:tcW w:w="4820" w:type="dxa"/>
            <w:vAlign w:val="bottom"/>
            <w:shd w:val="clear" w:color="auto" w:fill="F4F4F4"/>
          </w:tcPr>
          <w:p>
            <w:pPr>
              <w:ind w:left="220"/>
              <w:spacing w:after="0"/>
              <w:rPr>
                <w:sz w:val="20"/>
                <w:szCs w:val="20"/>
                <w:color w:val="auto"/>
              </w:rPr>
            </w:pPr>
            <w:r>
              <w:rPr>
                <w:rFonts w:ascii="Times New Roman" w:cs="Times New Roman" w:eastAsia="Times New Roman" w:hAnsi="Times New Roman"/>
                <w:sz w:val="16"/>
                <w:szCs w:val="16"/>
                <w:color w:val="auto"/>
              </w:rPr>
              <w:t>Changes in Tax Indemnification Receivable</w:t>
            </w:r>
          </w:p>
        </w:tc>
        <w:tc>
          <w:tcPr>
            <w:tcW w:w="1080" w:type="dxa"/>
            <w:vAlign w:val="bottom"/>
            <w:shd w:val="clear" w:color="auto" w:fill="F4F4F4"/>
          </w:tcPr>
          <w:p>
            <w:pPr>
              <w:spacing w:after="0"/>
              <w:rPr>
                <w:sz w:val="18"/>
                <w:szCs w:val="18"/>
                <w:color w:val="auto"/>
              </w:rPr>
            </w:pPr>
          </w:p>
        </w:tc>
        <w:tc>
          <w:tcPr>
            <w:tcW w:w="100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460" w:type="dxa"/>
            <w:vAlign w:val="bottom"/>
            <w:shd w:val="clear" w:color="auto" w:fill="F4F4F4"/>
          </w:tcPr>
          <w:p>
            <w:pPr>
              <w:spacing w:after="0"/>
              <w:rPr>
                <w:sz w:val="18"/>
                <w:szCs w:val="18"/>
                <w:color w:val="auto"/>
              </w:rPr>
            </w:pPr>
          </w:p>
        </w:tc>
        <w:tc>
          <w:tcPr>
            <w:tcW w:w="9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2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09"/>
        </w:trPr>
        <w:tc>
          <w:tcPr>
            <w:tcW w:w="4820" w:type="dxa"/>
            <w:vAlign w:val="bottom"/>
            <w:tcBorders>
              <w:bottom w:val="single" w:sz="8" w:color="auto"/>
            </w:tcBorders>
          </w:tcPr>
          <w:p>
            <w:pPr>
              <w:ind w:left="220"/>
              <w:spacing w:after="0" w:line="209" w:lineRule="exact"/>
              <w:rPr>
                <w:sz w:val="20"/>
                <w:szCs w:val="20"/>
                <w:color w:val="auto"/>
              </w:rPr>
            </w:pPr>
            <w:r>
              <w:rPr>
                <w:rFonts w:ascii="Times New Roman" w:cs="Times New Roman" w:eastAsia="Times New Roman" w:hAnsi="Times New Roman"/>
                <w:sz w:val="16"/>
                <w:szCs w:val="16"/>
                <w:color w:val="auto"/>
              </w:rPr>
              <w:t>Legal expenses</w:t>
            </w:r>
            <w:r>
              <w:rPr>
                <w:rFonts w:ascii="Times New Roman" w:cs="Times New Roman" w:eastAsia="Times New Roman" w:hAnsi="Times New Roman"/>
                <w:sz w:val="21"/>
                <w:szCs w:val="21"/>
                <w:color w:val="auto"/>
                <w:vertAlign w:val="superscript"/>
              </w:rPr>
              <w:t>(5)</w:t>
            </w:r>
          </w:p>
        </w:tc>
        <w:tc>
          <w:tcPr>
            <w:tcW w:w="10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42,333</w:t>
            </w:r>
          </w:p>
        </w:tc>
      </w:tr>
      <w:tr>
        <w:trPr>
          <w:trHeight w:val="201"/>
        </w:trPr>
        <w:tc>
          <w:tcPr>
            <w:tcW w:w="4820" w:type="dxa"/>
            <w:vAlign w:val="bottom"/>
            <w:shd w:val="clear" w:color="auto" w:fill="F4F4F4"/>
          </w:tcPr>
          <w:p>
            <w:pPr>
              <w:ind w:left="6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80" w:type="dxa"/>
            <w:vAlign w:val="bottom"/>
            <w:shd w:val="clear" w:color="auto" w:fill="F4F4F4"/>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b w:val="1"/>
                <w:bCs w:val="1"/>
                <w:color w:val="auto"/>
              </w:rPr>
              <w:t>39,493</w:t>
            </w:r>
          </w:p>
        </w:tc>
        <w:tc>
          <w:tcPr>
            <w:tcW w:w="460" w:type="dxa"/>
            <w:vAlign w:val="bottom"/>
            <w:shd w:val="clear" w:color="auto" w:fill="F4F4F4"/>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b w:val="1"/>
                <w:bCs w:val="1"/>
                <w:color w:val="auto"/>
              </w:rPr>
              <w:t>29,079</w:t>
            </w:r>
          </w:p>
        </w:tc>
        <w:tc>
          <w:tcPr>
            <w:tcW w:w="420" w:type="dxa"/>
            <w:vAlign w:val="bottom"/>
            <w:shd w:val="clear" w:color="auto" w:fill="F4F4F4"/>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b w:val="1"/>
                <w:bCs w:val="1"/>
                <w:color w:val="auto"/>
              </w:rPr>
              <w:t>100,122</w:t>
            </w:r>
          </w:p>
        </w:tc>
        <w:tc>
          <w:tcPr>
            <w:tcW w:w="400" w:type="dxa"/>
            <w:vAlign w:val="bottom"/>
            <w:shd w:val="clear" w:color="auto" w:fill="F4F4F4"/>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F4F4F4"/>
          </w:tcPr>
          <w:p>
            <w:pPr>
              <w:jc w:val="right"/>
              <w:spacing w:after="0"/>
              <w:rPr>
                <w:sz w:val="20"/>
                <w:szCs w:val="20"/>
                <w:color w:val="auto"/>
              </w:rPr>
            </w:pPr>
            <w:r>
              <w:rPr>
                <w:rFonts w:ascii="Times New Roman" w:cs="Times New Roman" w:eastAsia="Times New Roman" w:hAnsi="Times New Roman"/>
                <w:sz w:val="16"/>
                <w:szCs w:val="16"/>
                <w:b w:val="1"/>
                <w:bCs w:val="1"/>
                <w:color w:val="auto"/>
              </w:rPr>
              <w:t>82,957</w:t>
            </w:r>
          </w:p>
        </w:tc>
      </w:tr>
    </w:tbl>
    <w:p>
      <w:pPr>
        <w:spacing w:after="0" w:line="120" w:lineRule="exact"/>
        <w:rPr>
          <w:sz w:val="20"/>
          <w:szCs w:val="20"/>
          <w:color w:val="auto"/>
        </w:rPr>
      </w:pPr>
    </w:p>
    <w:p>
      <w:pPr>
        <w:ind w:left="880" w:right="20" w:hanging="292"/>
        <w:spacing w:after="0" w:line="270" w:lineRule="auto"/>
        <w:tabs>
          <w:tab w:leader="none" w:pos="879" w:val="left"/>
        </w:tabs>
        <w:numPr>
          <w:ilvl w:val="0"/>
          <w:numId w:val="11"/>
        </w:numPr>
        <w:rPr>
          <w:rFonts w:ascii="Times New Roman" w:cs="Times New Roman" w:eastAsia="Times New Roman" w:hAnsi="Times New Roman"/>
          <w:sz w:val="11"/>
          <w:szCs w:val="11"/>
          <w:color w:val="auto"/>
        </w:rPr>
      </w:pPr>
      <w:r>
        <w:rPr>
          <w:rFonts w:ascii="Arial" w:cs="Arial" w:eastAsia="Arial" w:hAnsi="Arial"/>
          <w:sz w:val="11"/>
          <w:szCs w:val="11"/>
          <w:color w:val="auto"/>
        </w:rPr>
        <w:t>Transaction expenses for the three months ended September 30, 2026 consist of legal and accounting fees incurred by us in connection with registration statements. Transaction expenses for the nine months ended September 30, 2026 consist of legal and other fees of $1.1 million and a loss on extinguishment of debt of $0.2 million incurred by us in connection with the 2026 Credit Facilities and legal and accounting fees incurred by us in connection with registration statements. Transaction expenses for the three and nine months ended September 30, 2025 consist of legal and accounting fees incurred in connection with an amendment to the 2021 Credit Facilities.</w:t>
      </w:r>
    </w:p>
    <w:p>
      <w:pPr>
        <w:spacing w:after="0" w:line="69" w:lineRule="exact"/>
        <w:rPr>
          <w:rFonts w:ascii="Times New Roman" w:cs="Times New Roman" w:eastAsia="Times New Roman" w:hAnsi="Times New Roman"/>
          <w:sz w:val="11"/>
          <w:szCs w:val="11"/>
          <w:color w:val="auto"/>
        </w:rPr>
      </w:pPr>
    </w:p>
    <w:p>
      <w:pPr>
        <w:ind w:left="880" w:right="120" w:hanging="292"/>
        <w:spacing w:after="0" w:line="323" w:lineRule="auto"/>
        <w:tabs>
          <w:tab w:leader="none" w:pos="873" w:val="left"/>
        </w:tabs>
        <w:numPr>
          <w:ilvl w:val="0"/>
          <w:numId w:val="11"/>
        </w:numPr>
        <w:rPr>
          <w:rFonts w:ascii="Arial" w:cs="Arial" w:eastAsia="Arial" w:hAnsi="Arial"/>
          <w:sz w:val="11"/>
          <w:szCs w:val="11"/>
          <w:color w:val="auto"/>
        </w:rPr>
      </w:pPr>
      <w:r>
        <w:rPr>
          <w:rFonts w:ascii="Arial" w:cs="Arial" w:eastAsia="Arial" w:hAnsi="Arial"/>
          <w:sz w:val="11"/>
          <w:szCs w:val="11"/>
          <w:color w:val="auto"/>
        </w:rPr>
        <w:t>Personnel separation costs for the three and nine months ended September 30, 2026 consist of severance costs incurred as part of the transition of the Company's Chief Financial Officer, pursuant to his employment agreement.</w:t>
      </w:r>
    </w:p>
    <w:p>
      <w:pPr>
        <w:spacing w:after="0" w:line="200" w:lineRule="exact"/>
        <w:rPr>
          <w:sz w:val="20"/>
          <w:szCs w:val="20"/>
          <w:color w:val="auto"/>
        </w:rPr>
      </w:pPr>
    </w:p>
    <w:p>
      <w:pPr>
        <w:spacing w:after="0" w:line="281" w:lineRule="exact"/>
        <w:rPr>
          <w:sz w:val="20"/>
          <w:szCs w:val="20"/>
          <w:color w:val="auto"/>
        </w:rPr>
      </w:pPr>
    </w:p>
    <w:p>
      <w:pPr>
        <w:ind w:left="10780"/>
        <w:spacing w:after="0"/>
        <w:rPr>
          <w:sz w:val="20"/>
          <w:szCs w:val="20"/>
          <w:color w:val="auto"/>
        </w:rPr>
      </w:pPr>
      <w:r>
        <w:rPr>
          <w:rFonts w:ascii="Arial" w:cs="Arial" w:eastAsia="Arial" w:hAnsi="Arial"/>
          <w:sz w:val="16"/>
          <w:szCs w:val="16"/>
          <w:color w:val="F36D4D"/>
        </w:rPr>
        <w:t>11</w:t>
      </w:r>
    </w:p>
    <w:p>
      <w:pPr>
        <w:sectPr>
          <w:pgSz w:w="11900" w:h="16838" w:orient="portrait"/>
          <w:cols w:equalWidth="0" w:num="1">
            <w:col w:w="11240"/>
          </w:cols>
          <w:pgMar w:left="320" w:top="371" w:right="339" w:bottom="1440" w:gutter="0" w:footer="0" w:header="0"/>
        </w:sectPr>
      </w:pPr>
    </w:p>
    <w:bookmarkStart w:id="25" w:name="page26"/>
    <w:bookmarkEnd w:id="25"/>
    <w:p>
      <w:pPr>
        <w:spacing w:after="0"/>
        <w:tabs>
          <w:tab w:leader="none" w:pos="1100" w:val="left"/>
        </w:tabs>
        <w:rPr>
          <w:sz w:val="20"/>
          <w:szCs w:val="20"/>
          <w:color w:val="auto"/>
        </w:rPr>
      </w:pPr>
      <w:r>
        <w:rPr>
          <w:rFonts w:ascii="Times New Roman" w:cs="Times New Roman" w:eastAsia="Times New Roman" w:hAnsi="Times New Roman"/>
          <w:sz w:val="14"/>
          <w:szCs w:val="14"/>
          <w:b w:val="1"/>
          <w:bCs w:val="1"/>
          <w:color w:val="F04A22"/>
        </w:rPr>
        <w:drawing>
          <wp:anchor simplePos="0" relativeHeight="251657728" behindDoc="1" locked="0" layoutInCell="0" allowOverlap="1">
            <wp:simplePos x="0" y="0"/>
            <wp:positionH relativeFrom="page">
              <wp:posOffset>201930</wp:posOffset>
            </wp:positionH>
            <wp:positionV relativeFrom="page">
              <wp:posOffset>104775</wp:posOffset>
            </wp:positionV>
            <wp:extent cx="7144385" cy="62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4385" cy="62230"/>
                    </a:xfrm>
                    <a:prstGeom prst="rect">
                      <a:avLst/>
                    </a:prstGeom>
                    <a:noFill/>
                  </pic:spPr>
                </pic:pic>
              </a:graphicData>
            </a:graphic>
          </wp:anchor>
        </w:drawing>
        <w:t>MediaAlpha</w:t>
      </w:r>
      <w:r>
        <w:rPr>
          <w:sz w:val="20"/>
          <w:szCs w:val="20"/>
          <w:color w:val="auto"/>
        </w:rPr>
        <w:tab/>
      </w:r>
      <w:r>
        <w:rPr>
          <w:rFonts w:ascii="Times New Roman" w:cs="Times New Roman" w:eastAsia="Times New Roman" w:hAnsi="Times New Roman"/>
          <w:sz w:val="14"/>
          <w:szCs w:val="14"/>
          <w:color w:val="6B6B6B"/>
        </w:rPr>
        <w:t>Investor Supplement ·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31750</wp:posOffset>
            </wp:positionV>
            <wp:extent cx="71443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20"/>
          </w:cols>
          <w:pgMar w:left="380" w:top="371" w:right="3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820" w:right="360" w:hanging="292"/>
        <w:spacing w:after="0" w:line="300" w:lineRule="auto"/>
        <w:tabs>
          <w:tab w:leader="none" w:pos="813" w:val="left"/>
        </w:tabs>
        <w:numPr>
          <w:ilvl w:val="0"/>
          <w:numId w:val="12"/>
        </w:numPr>
        <w:rPr>
          <w:rFonts w:ascii="Arial" w:cs="Arial" w:eastAsia="Arial" w:hAnsi="Arial"/>
          <w:sz w:val="11"/>
          <w:szCs w:val="11"/>
          <w:color w:val="auto"/>
        </w:rPr>
      </w:pPr>
      <w:r>
        <w:rPr>
          <w:rFonts w:ascii="Arial" w:cs="Arial" w:eastAsia="Arial" w:hAnsi="Arial"/>
          <w:sz w:val="11"/>
          <w:szCs w:val="11"/>
          <w:color w:val="auto"/>
        </w:rPr>
        <w:t>Write-off of intangible assets for the nine months ended September 30, 2025 consists of a charge related to the write-off of customer relationships and trademarks, trade names, and domain names intangible assets acquired as part of the acquisition of Customer Helper Team, LLC.</w:t>
      </w:r>
    </w:p>
    <w:p>
      <w:pPr>
        <w:spacing w:after="0" w:line="52" w:lineRule="exact"/>
        <w:rPr>
          <w:rFonts w:ascii="Arial" w:cs="Arial" w:eastAsia="Arial" w:hAnsi="Arial"/>
          <w:sz w:val="11"/>
          <w:szCs w:val="11"/>
          <w:color w:val="auto"/>
        </w:rPr>
      </w:pPr>
    </w:p>
    <w:p>
      <w:pPr>
        <w:ind w:left="820" w:hanging="292"/>
        <w:spacing w:after="0"/>
        <w:tabs>
          <w:tab w:leader="none" w:pos="8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Changes in TRA related liability consist of adjustments to the TRA liability to reflect probable future payments under the agreement.</w:t>
      </w:r>
    </w:p>
    <w:p>
      <w:pPr>
        <w:spacing w:after="0" w:line="119" w:lineRule="exact"/>
        <w:rPr>
          <w:rFonts w:ascii="Arial" w:cs="Arial" w:eastAsia="Arial" w:hAnsi="Arial"/>
          <w:sz w:val="11"/>
          <w:szCs w:val="11"/>
          <w:color w:val="auto"/>
        </w:rPr>
      </w:pPr>
    </w:p>
    <w:p>
      <w:pPr>
        <w:ind w:left="820" w:hanging="292"/>
        <w:spacing w:after="0" w:line="300" w:lineRule="auto"/>
        <w:tabs>
          <w:tab w:leader="none" w:pos="813" w:val="left"/>
        </w:tabs>
        <w:numPr>
          <w:ilvl w:val="0"/>
          <w:numId w:val="12"/>
        </w:numPr>
        <w:rPr>
          <w:rFonts w:ascii="Arial" w:cs="Arial" w:eastAsia="Arial" w:hAnsi="Arial"/>
          <w:sz w:val="11"/>
          <w:szCs w:val="11"/>
          <w:color w:val="auto"/>
        </w:rPr>
      </w:pPr>
      <w:r>
        <w:rPr>
          <w:rFonts w:ascii="Arial" w:cs="Arial" w:eastAsia="Arial" w:hAnsi="Arial"/>
          <w:sz w:val="11"/>
          <w:szCs w:val="11"/>
          <w:color w:val="auto"/>
        </w:rPr>
        <w:t>Legal expenses for the three and nine months ended September 30, 2026 were immaterial. Legal expenses for the three and nine months ended September 30, 2025, consist of increases of $0 and $38.0 million, respectively, to the loss reserve established in connection with the FTC Matter and legal fees and costs incurred in connection with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720"/>
        <w:spacing w:after="0"/>
        <w:rPr>
          <w:sz w:val="20"/>
          <w:szCs w:val="20"/>
          <w:color w:val="auto"/>
        </w:rPr>
      </w:pPr>
      <w:r>
        <w:rPr>
          <w:rFonts w:ascii="Arial" w:cs="Arial" w:eastAsia="Arial" w:hAnsi="Arial"/>
          <w:sz w:val="16"/>
          <w:szCs w:val="16"/>
          <w:color w:val="F36D4D"/>
        </w:rPr>
        <w:t>12</w:t>
      </w:r>
    </w:p>
    <w:sectPr>
      <w:pgSz w:w="11900" w:h="16838" w:orient="portrait"/>
      <w:cols w:equalWidth="0" w:num="1">
        <w:col w:w="11120"/>
      </w:cols>
      <w:pgMar w:left="380" w:top="37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decimal"/>
      <w:start w:val="646"/>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bullet"/>
      <w:start w:val="1"/>
    </w:lvl>
  </w:abstractNum>
  <w:abstractNum w:abstractNumId="9">
    <w:nsid w:val="1F16E9E8"/>
    <w:multiLevelType w:val="hybridMultilevel"/>
    <w:lvl w:ilvl="0">
      <w:lvlJc w:val="left"/>
      <w:lvlText w:val="2"/>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2026-10-28T15:15:51Z</dcterms:created>
  <dcterms:modified xsi:type="dcterms:W3CDTF">2026-10-28T15:15:51Z</dcterms:modified>
</cp:coreProperties>
</file>