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200025</wp:posOffset>
            </wp:positionH>
            <wp:positionV relativeFrom="page">
              <wp:posOffset>629920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652145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9"/>
          <w:szCs w:val="19"/>
          <w:b w:val="1"/>
          <w:bCs w:val="1"/>
          <w:color w:val="auto"/>
        </w:rPr>
        <w:t>_____________________________</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5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9"/>
          <w:szCs w:val="19"/>
          <w:b w:val="1"/>
          <w:bCs w:val="1"/>
          <w:color w:val="auto"/>
        </w:rPr>
        <w:t>_____________________________</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April 29, 2026</w:t>
      </w:r>
    </w:p>
    <w:p>
      <w:pPr>
        <w:spacing w:after="0" w:line="2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9"/>
          <w:szCs w:val="19"/>
          <w:b w:val="1"/>
          <w:bCs w:val="1"/>
          <w:color w:val="auto"/>
        </w:rPr>
        <w:t>_____________________________</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auto"/>
        </w:rPr>
        <w:t>MediaAlpha,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83"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9"/>
          <w:szCs w:val="19"/>
          <w:b w:val="1"/>
          <w:bCs w:val="1"/>
          <w:color w:val="auto"/>
        </w:rPr>
        <w:t>_____________________________</w:t>
      </w:r>
    </w:p>
    <w:p>
      <w:pPr>
        <w:spacing w:after="0" w:line="180" w:lineRule="exact"/>
        <w:rPr>
          <w:sz w:val="24"/>
          <w:szCs w:val="24"/>
          <w:color w:val="auto"/>
        </w:rPr>
      </w:pPr>
    </w:p>
    <w:tbl>
      <w:tblPr>
        <w:tblLayout w:type="fixed"/>
        <w:tblInd w:w="1160" w:type="dxa"/>
        <w:tblCellMar>
          <w:top w:w="0" w:type="dxa"/>
          <w:left w:w="0" w:type="dxa"/>
          <w:bottom w:w="0" w:type="dxa"/>
          <w:right w:w="0" w:type="dxa"/>
        </w:tblCellMar>
      </w:tblPr>
      <w:tr>
        <w:trPr>
          <w:trHeight w:val="208"/>
        </w:trPr>
        <w:tc>
          <w:tcPr>
            <w:tcW w:w="2940" w:type="dxa"/>
            <w:vAlign w:val="bottom"/>
          </w:tcPr>
          <w:p>
            <w:pPr>
              <w:jc w:val="center"/>
              <w:ind w:right="142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500" w:type="dxa"/>
            <w:vAlign w:val="bottom"/>
          </w:tcPr>
          <w:p>
            <w:pPr>
              <w:jc w:val="center"/>
              <w:ind w:right="371"/>
              <w:spacing w:after="0"/>
              <w:rPr>
                <w:sz w:val="20"/>
                <w:szCs w:val="20"/>
                <w:color w:val="auto"/>
              </w:rPr>
            </w:pPr>
            <w:r>
              <w:rPr>
                <w:rFonts w:ascii="Times New Roman" w:cs="Times New Roman" w:eastAsia="Times New Roman" w:hAnsi="Times New Roman"/>
                <w:sz w:val="16"/>
                <w:szCs w:val="16"/>
                <w:b w:val="1"/>
                <w:bCs w:val="1"/>
                <w:color w:val="auto"/>
              </w:rPr>
              <w:t>001-39671</w:t>
            </w:r>
          </w:p>
        </w:tc>
        <w:tc>
          <w:tcPr>
            <w:tcW w:w="2280" w:type="dxa"/>
            <w:vAlign w:val="bottom"/>
          </w:tcPr>
          <w:p>
            <w:pPr>
              <w:jc w:val="center"/>
              <w:ind w:left="1211"/>
              <w:spacing w:after="0"/>
              <w:rPr>
                <w:sz w:val="20"/>
                <w:szCs w:val="20"/>
                <w:color w:val="auto"/>
              </w:rPr>
            </w:pPr>
            <w:r>
              <w:rPr>
                <w:rFonts w:ascii="Times New Roman" w:cs="Times New Roman" w:eastAsia="Times New Roman" w:hAnsi="Times New Roman"/>
                <w:sz w:val="16"/>
                <w:szCs w:val="16"/>
                <w:b w:val="1"/>
                <w:bCs w:val="1"/>
                <w:color w:val="auto"/>
                <w:w w:val="98"/>
              </w:rPr>
              <w:t>85-1854133</w:t>
            </w:r>
          </w:p>
        </w:tc>
      </w:tr>
      <w:tr>
        <w:trPr>
          <w:trHeight w:val="155"/>
        </w:trPr>
        <w:tc>
          <w:tcPr>
            <w:tcW w:w="2940" w:type="dxa"/>
            <w:vAlign w:val="bottom"/>
          </w:tcPr>
          <w:p>
            <w:pPr>
              <w:jc w:val="center"/>
              <w:ind w:right="1429"/>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3500" w:type="dxa"/>
            <w:vAlign w:val="bottom"/>
          </w:tcPr>
          <w:p>
            <w:pPr>
              <w:jc w:val="center"/>
              <w:ind w:right="371"/>
              <w:spacing w:after="0"/>
              <w:rPr>
                <w:sz w:val="20"/>
                <w:szCs w:val="20"/>
                <w:color w:val="auto"/>
              </w:rPr>
            </w:pPr>
            <w:r>
              <w:rPr>
                <w:rFonts w:ascii="Times New Roman" w:cs="Times New Roman" w:eastAsia="Times New Roman" w:hAnsi="Times New Roman"/>
                <w:sz w:val="13"/>
                <w:szCs w:val="13"/>
                <w:b w:val="1"/>
                <w:bCs w:val="1"/>
                <w:color w:val="auto"/>
                <w:w w:val="95"/>
              </w:rPr>
              <w:t>(Commission</w:t>
            </w:r>
          </w:p>
        </w:tc>
        <w:tc>
          <w:tcPr>
            <w:tcW w:w="2280" w:type="dxa"/>
            <w:vAlign w:val="bottom"/>
          </w:tcPr>
          <w:p>
            <w:pPr>
              <w:jc w:val="center"/>
              <w:ind w:left="1211"/>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940" w:type="dxa"/>
            <w:vAlign w:val="bottom"/>
          </w:tcPr>
          <w:p>
            <w:pPr>
              <w:jc w:val="center"/>
              <w:ind w:right="1429"/>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3500" w:type="dxa"/>
            <w:vAlign w:val="bottom"/>
          </w:tcPr>
          <w:p>
            <w:pPr>
              <w:jc w:val="center"/>
              <w:ind w:right="371"/>
              <w:spacing w:after="0"/>
              <w:rPr>
                <w:sz w:val="20"/>
                <w:szCs w:val="20"/>
                <w:color w:val="auto"/>
              </w:rPr>
            </w:pPr>
            <w:r>
              <w:rPr>
                <w:rFonts w:ascii="Times New Roman" w:cs="Times New Roman" w:eastAsia="Times New Roman" w:hAnsi="Times New Roman"/>
                <w:sz w:val="13"/>
                <w:szCs w:val="13"/>
                <w:b w:val="1"/>
                <w:bCs w:val="1"/>
                <w:color w:val="auto"/>
                <w:w w:val="98"/>
              </w:rPr>
              <w:t>File Number)</w:t>
            </w:r>
          </w:p>
        </w:tc>
        <w:tc>
          <w:tcPr>
            <w:tcW w:w="2280" w:type="dxa"/>
            <w:vAlign w:val="bottom"/>
          </w:tcPr>
          <w:p>
            <w:pPr>
              <w:jc w:val="center"/>
              <w:ind w:left="1211"/>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518"/>
        </w:trPr>
        <w:tc>
          <w:tcPr>
            <w:tcW w:w="2940" w:type="dxa"/>
            <w:vAlign w:val="bottom"/>
          </w:tcPr>
          <w:p>
            <w:pPr>
              <w:jc w:val="center"/>
              <w:ind w:left="289"/>
              <w:spacing w:after="0"/>
              <w:rPr>
                <w:sz w:val="20"/>
                <w:szCs w:val="20"/>
                <w:color w:val="auto"/>
              </w:rPr>
            </w:pPr>
            <w:r>
              <w:rPr>
                <w:rFonts w:ascii="Times New Roman" w:cs="Times New Roman" w:eastAsia="Times New Roman" w:hAnsi="Times New Roman"/>
                <w:sz w:val="16"/>
                <w:szCs w:val="16"/>
                <w:b w:val="1"/>
                <w:bCs w:val="1"/>
                <w:color w:val="auto"/>
                <w:w w:val="98"/>
              </w:rPr>
              <w:t>700 South Flower Street</w:t>
            </w:r>
            <w:r>
              <w:rPr>
                <w:rFonts w:ascii="Arial" w:cs="Arial" w:eastAsia="Arial" w:hAnsi="Arial"/>
                <w:sz w:val="18"/>
                <w:szCs w:val="18"/>
                <w:color w:val="auto"/>
                <w:w w:val="98"/>
              </w:rPr>
              <w:t>,</w:t>
            </w:r>
            <w:r>
              <w:rPr>
                <w:rFonts w:ascii="Times New Roman" w:cs="Times New Roman" w:eastAsia="Times New Roman" w:hAnsi="Times New Roman"/>
                <w:sz w:val="16"/>
                <w:szCs w:val="16"/>
                <w:b w:val="1"/>
                <w:bCs w:val="1"/>
                <w:color w:val="auto"/>
                <w:w w:val="98"/>
              </w:rPr>
              <w:t xml:space="preserve"> Suite 640</w:t>
            </w:r>
          </w:p>
        </w:tc>
        <w:tc>
          <w:tcPr>
            <w:tcW w:w="35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0"/>
        </w:trPr>
        <w:tc>
          <w:tcPr>
            <w:tcW w:w="2940" w:type="dxa"/>
            <w:vAlign w:val="bottom"/>
          </w:tcPr>
          <w:p>
            <w:pPr>
              <w:jc w:val="center"/>
              <w:ind w:left="289"/>
              <w:spacing w:after="0"/>
              <w:rPr>
                <w:sz w:val="20"/>
                <w:szCs w:val="20"/>
                <w:color w:val="auto"/>
              </w:rPr>
            </w:pPr>
            <w:r>
              <w:rPr>
                <w:rFonts w:ascii="Times New Roman" w:cs="Times New Roman" w:eastAsia="Times New Roman" w:hAnsi="Times New Roman"/>
                <w:sz w:val="16"/>
                <w:szCs w:val="16"/>
                <w:b w:val="1"/>
                <w:bCs w:val="1"/>
                <w:color w:val="auto"/>
              </w:rPr>
              <w:t>Los Angeles</w:t>
            </w:r>
            <w:r>
              <w:rPr>
                <w:rFonts w:ascii="Arial" w:cs="Arial" w:eastAsia="Arial" w:hAnsi="Arial"/>
                <w:sz w:val="18"/>
                <w:szCs w:val="18"/>
                <w:color w:val="auto"/>
              </w:rPr>
              <w:t>,</w:t>
            </w:r>
            <w:r>
              <w:rPr>
                <w:rFonts w:ascii="Times New Roman" w:cs="Times New Roman" w:eastAsia="Times New Roman" w:hAnsi="Times New Roman"/>
                <w:sz w:val="16"/>
                <w:szCs w:val="16"/>
                <w:b w:val="1"/>
                <w:bCs w:val="1"/>
                <w:color w:val="auto"/>
              </w:rPr>
              <w:t xml:space="preserve"> California</w:t>
            </w:r>
          </w:p>
        </w:tc>
        <w:tc>
          <w:tcPr>
            <w:tcW w:w="3500" w:type="dxa"/>
            <w:vAlign w:val="bottom"/>
          </w:tcPr>
          <w:p>
            <w:pPr>
              <w:spacing w:after="0"/>
              <w:rPr>
                <w:sz w:val="21"/>
                <w:szCs w:val="21"/>
                <w:color w:val="auto"/>
              </w:rPr>
            </w:pPr>
          </w:p>
        </w:tc>
        <w:tc>
          <w:tcPr>
            <w:tcW w:w="2280" w:type="dxa"/>
            <w:vAlign w:val="bottom"/>
          </w:tcPr>
          <w:p>
            <w:pPr>
              <w:jc w:val="right"/>
              <w:ind w:right="1171"/>
              <w:spacing w:after="0"/>
              <w:rPr>
                <w:sz w:val="20"/>
                <w:szCs w:val="20"/>
                <w:color w:val="auto"/>
              </w:rPr>
            </w:pPr>
            <w:r>
              <w:rPr>
                <w:rFonts w:ascii="Times New Roman" w:cs="Times New Roman" w:eastAsia="Times New Roman" w:hAnsi="Times New Roman"/>
                <w:sz w:val="16"/>
                <w:szCs w:val="16"/>
                <w:b w:val="1"/>
                <w:bCs w:val="1"/>
                <w:color w:val="auto"/>
              </w:rPr>
              <w:t>90017</w:t>
            </w:r>
          </w:p>
        </w:tc>
      </w:tr>
      <w:tr>
        <w:trPr>
          <w:trHeight w:val="166"/>
        </w:trPr>
        <w:tc>
          <w:tcPr>
            <w:tcW w:w="2940" w:type="dxa"/>
            <w:vAlign w:val="bottom"/>
          </w:tcPr>
          <w:p>
            <w:pPr>
              <w:jc w:val="center"/>
              <w:ind w:left="28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500" w:type="dxa"/>
            <w:vAlign w:val="bottom"/>
          </w:tcPr>
          <w:p>
            <w:pPr>
              <w:spacing w:after="0"/>
              <w:rPr>
                <w:sz w:val="14"/>
                <w:szCs w:val="14"/>
                <w:color w:val="auto"/>
              </w:rPr>
            </w:pPr>
          </w:p>
        </w:tc>
        <w:tc>
          <w:tcPr>
            <w:tcW w:w="2280" w:type="dxa"/>
            <w:vAlign w:val="bottom"/>
          </w:tcPr>
          <w:p>
            <w:pPr>
              <w:jc w:val="center"/>
              <w:ind w:right="531"/>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r>
        <w:trPr>
          <w:trHeight w:val="401"/>
        </w:trPr>
        <w:tc>
          <w:tcPr>
            <w:tcW w:w="2940" w:type="dxa"/>
            <w:vAlign w:val="bottom"/>
          </w:tcPr>
          <w:p>
            <w:pPr>
              <w:spacing w:after="0"/>
              <w:rPr>
                <w:sz w:val="24"/>
                <w:szCs w:val="24"/>
                <w:color w:val="auto"/>
              </w:rPr>
            </w:pPr>
          </w:p>
        </w:tc>
        <w:tc>
          <w:tcPr>
            <w:tcW w:w="3500" w:type="dxa"/>
            <w:vAlign w:val="bottom"/>
          </w:tcPr>
          <w:p>
            <w:pPr>
              <w:jc w:val="center"/>
              <w:ind w:right="371"/>
              <w:spacing w:after="0"/>
              <w:rPr>
                <w:sz w:val="20"/>
                <w:szCs w:val="20"/>
                <w:color w:val="auto"/>
              </w:rPr>
            </w:pPr>
            <w:r>
              <w:rPr>
                <w:rFonts w:ascii="Times New Roman" w:cs="Times New Roman" w:eastAsia="Times New Roman" w:hAnsi="Times New Roman"/>
                <w:sz w:val="16"/>
                <w:szCs w:val="16"/>
                <w:b w:val="1"/>
                <w:bCs w:val="1"/>
                <w:color w:val="auto"/>
                <w:w w:val="97"/>
              </w:rPr>
              <w:t>(213) 316-6256</w:t>
            </w:r>
          </w:p>
        </w:tc>
        <w:tc>
          <w:tcPr>
            <w:tcW w:w="2280" w:type="dxa"/>
            <w:vAlign w:val="bottom"/>
          </w:tcPr>
          <w:p>
            <w:pPr>
              <w:spacing w:after="0"/>
              <w:rPr>
                <w:sz w:val="24"/>
                <w:szCs w:val="24"/>
                <w:color w:val="auto"/>
              </w:rPr>
            </w:pPr>
          </w:p>
        </w:tc>
      </w:tr>
      <w:tr>
        <w:trPr>
          <w:trHeight w:val="166"/>
        </w:trPr>
        <w:tc>
          <w:tcPr>
            <w:tcW w:w="2940" w:type="dxa"/>
            <w:vAlign w:val="bottom"/>
          </w:tcPr>
          <w:p>
            <w:pPr>
              <w:spacing w:after="0"/>
              <w:rPr>
                <w:sz w:val="14"/>
                <w:szCs w:val="14"/>
                <w:color w:val="auto"/>
              </w:rPr>
            </w:pPr>
          </w:p>
        </w:tc>
        <w:tc>
          <w:tcPr>
            <w:tcW w:w="3500" w:type="dxa"/>
            <w:vAlign w:val="bottom"/>
          </w:tcPr>
          <w:p>
            <w:pPr>
              <w:jc w:val="center"/>
              <w:ind w:right="391"/>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2280" w:type="dxa"/>
            <w:vAlign w:val="bottom"/>
          </w:tcPr>
          <w:p>
            <w:pPr>
              <w:spacing w:after="0"/>
              <w:rPr>
                <w:sz w:val="14"/>
                <w:szCs w:val="14"/>
                <w:color w:val="auto"/>
              </w:rPr>
            </w:pPr>
          </w:p>
        </w:tc>
      </w:tr>
    </w:tbl>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83" w:lineRule="exact"/>
        <w:rPr>
          <w:sz w:val="24"/>
          <w:szCs w:val="24"/>
          <w:color w:val="auto"/>
        </w:rPr>
      </w:pPr>
    </w:p>
    <w:p>
      <w:pPr>
        <w:ind w:left="460" w:right="180"/>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color w:val="auto"/>
        </w:rPr>
        <w:t xml:space="preserve"> General Instruction A.2. below):</w:t>
      </w:r>
    </w:p>
    <w:p>
      <w:pPr>
        <w:spacing w:after="0" w:line="215" w:lineRule="exact"/>
        <w:rPr>
          <w:sz w:val="24"/>
          <w:szCs w:val="24"/>
          <w:color w:val="auto"/>
        </w:rPr>
      </w:pPr>
    </w:p>
    <w:p>
      <w:pPr>
        <w:ind w:left="460" w:hanging="450"/>
        <w:spacing w:after="0"/>
        <w:tabs>
          <w:tab w:leader="none" w:pos="4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41" w:lineRule="exact"/>
        <w:rPr>
          <w:rFonts w:ascii="Wingdings" w:cs="Wingdings" w:eastAsia="Wingdings" w:hAnsi="Wingdings"/>
          <w:sz w:val="16"/>
          <w:szCs w:val="16"/>
          <w:b w:val="1"/>
          <w:bCs w:val="1"/>
          <w:color w:val="auto"/>
        </w:rPr>
      </w:pPr>
    </w:p>
    <w:p>
      <w:pPr>
        <w:ind w:left="460" w:hanging="450"/>
        <w:spacing w:after="0"/>
        <w:tabs>
          <w:tab w:leader="none" w:pos="4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41" w:lineRule="exact"/>
        <w:rPr>
          <w:rFonts w:ascii="Wingdings" w:cs="Wingdings" w:eastAsia="Wingdings" w:hAnsi="Wingdings"/>
          <w:sz w:val="16"/>
          <w:szCs w:val="16"/>
          <w:b w:val="1"/>
          <w:bCs w:val="1"/>
          <w:color w:val="auto"/>
        </w:rPr>
      </w:pPr>
    </w:p>
    <w:p>
      <w:pPr>
        <w:ind w:left="460" w:hanging="450"/>
        <w:spacing w:after="0"/>
        <w:tabs>
          <w:tab w:leader="none" w:pos="4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41" w:lineRule="exact"/>
        <w:rPr>
          <w:rFonts w:ascii="Wingdings" w:cs="Wingdings" w:eastAsia="Wingdings" w:hAnsi="Wingdings"/>
          <w:sz w:val="16"/>
          <w:szCs w:val="16"/>
          <w:b w:val="1"/>
          <w:bCs w:val="1"/>
          <w:color w:val="auto"/>
        </w:rPr>
      </w:pPr>
    </w:p>
    <w:p>
      <w:pPr>
        <w:ind w:left="460" w:hanging="450"/>
        <w:spacing w:after="0"/>
        <w:tabs>
          <w:tab w:leader="none" w:pos="4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7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8"/>
              </w:rPr>
              <w:t>Securities registered pursuant to Section 12(b) of the Act:</w:t>
            </w:r>
          </w:p>
        </w:tc>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366"/>
        </w:trPr>
        <w:tc>
          <w:tcPr>
            <w:tcW w:w="20" w:type="dxa"/>
            <w:vAlign w:val="bottom"/>
          </w:tcPr>
          <w:p>
            <w:pPr>
              <w:spacing w:after="0"/>
              <w:rPr>
                <w:sz w:val="24"/>
                <w:szCs w:val="24"/>
                <w:color w:val="auto"/>
              </w:rPr>
            </w:pPr>
          </w:p>
        </w:tc>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20" w:type="dxa"/>
            <w:vAlign w:val="bottom"/>
          </w:tcPr>
          <w:p>
            <w:pPr>
              <w:spacing w:after="0"/>
              <w:rPr>
                <w:sz w:val="17"/>
                <w:szCs w:val="17"/>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Class A common stock, $0.01 par value</w:t>
            </w:r>
          </w:p>
        </w:tc>
        <w:tc>
          <w:tcPr>
            <w:tcW w:w="80" w:type="dxa"/>
            <w:vAlign w:val="bottom"/>
          </w:tcPr>
          <w:p>
            <w:pPr>
              <w:spacing w:after="0"/>
              <w:rPr>
                <w:sz w:val="17"/>
                <w:szCs w:val="17"/>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MAX</w:t>
            </w:r>
          </w:p>
        </w:tc>
        <w:tc>
          <w:tcPr>
            <w:tcW w:w="80" w:type="dxa"/>
            <w:vAlign w:val="bottom"/>
          </w:tcPr>
          <w:p>
            <w:pPr>
              <w:spacing w:after="0"/>
              <w:rPr>
                <w:sz w:val="17"/>
                <w:szCs w:val="17"/>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368" w:lineRule="exact"/>
        <w:rPr>
          <w:sz w:val="24"/>
          <w:szCs w:val="24"/>
          <w:color w:val="auto"/>
        </w:rPr>
      </w:pPr>
    </w:p>
    <w:p>
      <w:pPr>
        <w:ind w:left="460" w:right="300"/>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6" w:lineRule="exact"/>
        <w:rPr>
          <w:sz w:val="24"/>
          <w:szCs w:val="24"/>
          <w:color w:val="auto"/>
        </w:rPr>
      </w:pPr>
    </w:p>
    <w:p>
      <w:pPr>
        <w:ind w:left="460"/>
        <w:spacing w:after="0"/>
        <w:tabs>
          <w:tab w:leader="none" w:pos="236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Wingdings" w:cs="Wingdings" w:eastAsia="Wingdings" w:hAnsi="Wingdings"/>
          <w:sz w:val="15"/>
          <w:szCs w:val="15"/>
          <w:b w:val="1"/>
          <w:bCs w:val="1"/>
          <w:color w:val="auto"/>
        </w:rPr>
        <w:t>o</w:t>
      </w:r>
    </w:p>
    <w:p>
      <w:pPr>
        <w:spacing w:after="0" w:line="112" w:lineRule="exact"/>
        <w:rPr>
          <w:sz w:val="24"/>
          <w:szCs w:val="24"/>
          <w:color w:val="auto"/>
        </w:rPr>
      </w:pPr>
    </w:p>
    <w:p>
      <w:pPr>
        <w:ind w:left="460" w:right="400"/>
        <w:spacing w:after="0" w:line="24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780415</wp:posOffset>
            </wp:positionV>
            <wp:extent cx="71748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200025</wp:posOffset>
            </wp:positionV>
            <wp:extent cx="7149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222250</wp:posOffset>
            </wp:positionV>
            <wp:extent cx="71494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20"/>
          </w:cols>
          <w:pgMar w:left="320" w:top="129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 Results of Operations and Financial Condition.</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On April 29, 2026, MediaAlpha, Inc. (“MediaAlpha” or the “Company”) issued a press release announcing its financial results as of and for the first quarter ended March 31, 2026, and its financial outlook for the second quarter of 2026, and posted certain supplemental financial information to the Investor Relations section of its website. Copies of the press release and investor supplement are furnished as Exhibit 99.1 and Exhibit 99.2, respectively, to this Form 8-K and are incorporated by reference herein.</w:t>
      </w:r>
    </w:p>
    <w:p>
      <w:pPr>
        <w:spacing w:after="0" w:line="157"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This information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45"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6"/>
          <w:szCs w:val="16"/>
          <w:color w:val="auto"/>
        </w:rPr>
        <w:t>MediaAlpha refers to non-GAAP financial information in the press release and investor supplement. A reconciliation of these non-GAAP financial measures to the comparable GAAP financial measures is contained in each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480060</wp:posOffset>
            </wp:positionV>
            <wp:extent cx="717486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020"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ITEM 9.01 – Financial Statements and Exhibits.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0"/>
              </w:rPr>
              <w:t>Exhibit</w:t>
            </w:r>
          </w:p>
        </w:tc>
        <w:tc>
          <w:tcPr>
            <w:tcW w:w="6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7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line="158" w:lineRule="exact"/>
              <w:rPr>
                <w:sz w:val="20"/>
                <w:szCs w:val="20"/>
                <w:color w:val="auto"/>
              </w:rPr>
            </w:pPr>
            <w:r>
              <w:rPr>
                <w:rFonts w:ascii="Times New Roman" w:cs="Times New Roman" w:eastAsia="Times New Roman" w:hAnsi="Times New Roman"/>
                <w:sz w:val="16"/>
                <w:szCs w:val="16"/>
                <w:b w:val="1"/>
                <w:bCs w:val="1"/>
                <w:color w:val="auto"/>
                <w:w w:val="84"/>
              </w:rPr>
              <w:t>No.</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60" w:type="dxa"/>
            <w:vAlign w:val="bottom"/>
            <w:gridSpan w:val="3"/>
          </w:tcPr>
          <w:p>
            <w:pPr>
              <w:ind w:left="1980"/>
              <w:spacing w:after="0" w:line="169" w:lineRule="exact"/>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
        </w:trPr>
        <w:tc>
          <w:tcPr>
            <w:tcW w:w="5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77"/>
        </w:trPr>
        <w:tc>
          <w:tcPr>
            <w:tcW w:w="500" w:type="dxa"/>
            <w:vAlign w:val="bottom"/>
            <w:gridSpan w:val="3"/>
          </w:tcPr>
          <w:p>
            <w:pPr>
              <w:ind w:left="20"/>
              <w:spacing w:after="0" w:line="177" w:lineRule="exact"/>
              <w:rPr>
                <w:sz w:val="20"/>
                <w:szCs w:val="20"/>
                <w:color w:val="auto"/>
              </w:rPr>
            </w:pPr>
            <w:r>
              <w:rPr>
                <w:rFonts w:ascii="Times New Roman" w:cs="Times New Roman" w:eastAsia="Times New Roman" w:hAnsi="Times New Roman"/>
                <w:sz w:val="16"/>
                <w:szCs w:val="16"/>
                <w:color w:val="auto"/>
              </w:rPr>
              <w:t>99.1</w:t>
            </w:r>
          </w:p>
        </w:tc>
        <w:tc>
          <w:tcPr>
            <w:tcW w:w="620" w:type="dxa"/>
            <w:vAlign w:val="bottom"/>
          </w:tcPr>
          <w:p>
            <w:pPr>
              <w:spacing w:after="0"/>
              <w:rPr>
                <w:sz w:val="15"/>
                <w:szCs w:val="15"/>
                <w:color w:val="auto"/>
              </w:rPr>
            </w:pPr>
          </w:p>
        </w:tc>
        <w:tc>
          <w:tcPr>
            <w:tcW w:w="10140" w:type="dxa"/>
            <w:vAlign w:val="bottom"/>
            <w:gridSpan w:val="5"/>
          </w:tcPr>
          <w:p>
            <w:pPr>
              <w:spacing w:after="0" w:line="177" w:lineRule="exact"/>
              <w:rPr>
                <w:sz w:val="20"/>
                <w:szCs w:val="20"/>
                <w:color w:val="auto"/>
              </w:rPr>
            </w:pPr>
            <w:r>
              <w:rPr>
                <w:rFonts w:ascii="Times New Roman" w:cs="Times New Roman" w:eastAsia="Times New Roman" w:hAnsi="Times New Roman"/>
                <w:sz w:val="16"/>
                <w:szCs w:val="16"/>
                <w:color w:val="0000FF"/>
              </w:rPr>
              <w:t>Press release dated April 29, 2026.</w:t>
            </w:r>
          </w:p>
        </w:tc>
      </w:tr>
      <w:tr>
        <w:trPr>
          <w:trHeight w:val="20"/>
        </w:trPr>
        <w:tc>
          <w:tcPr>
            <w:tcW w:w="5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r>
      <w:tr>
        <w:trPr>
          <w:trHeight w:val="217"/>
        </w:trPr>
        <w:tc>
          <w:tcPr>
            <w:tcW w:w="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99.2</w:t>
            </w:r>
          </w:p>
        </w:tc>
        <w:tc>
          <w:tcPr>
            <w:tcW w:w="620" w:type="dxa"/>
            <w:vAlign w:val="bottom"/>
          </w:tcPr>
          <w:p>
            <w:pPr>
              <w:spacing w:after="0"/>
              <w:rPr>
                <w:sz w:val="18"/>
                <w:szCs w:val="18"/>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Investor Supplement dated April 29, 2026.</w:t>
            </w:r>
          </w:p>
        </w:tc>
      </w:tr>
      <w:tr>
        <w:trPr>
          <w:trHeight w:val="20"/>
        </w:trPr>
        <w:tc>
          <w:tcPr>
            <w:tcW w:w="5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r>
      <w:tr>
        <w:trPr>
          <w:trHeight w:val="253"/>
        </w:trPr>
        <w:tc>
          <w:tcPr>
            <w:tcW w:w="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620" w:type="dxa"/>
            <w:vAlign w:val="bottom"/>
          </w:tcPr>
          <w:p>
            <w:pPr>
              <w:spacing w:after="0"/>
              <w:rPr>
                <w:sz w:val="21"/>
                <w:szCs w:val="21"/>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914"/>
        </w:trPr>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right="300" w:firstLine="568"/>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3140" w:type="dxa"/>
            <w:vAlign w:val="bottom"/>
          </w:tcPr>
          <w:p>
            <w:pPr>
              <w:spacing w:after="0"/>
              <w:rPr>
                <w:sz w:val="18"/>
                <w:szCs w:val="18"/>
                <w:color w:val="auto"/>
              </w:rPr>
            </w:pPr>
          </w:p>
        </w:tc>
        <w:tc>
          <w:tcPr>
            <w:tcW w:w="3060" w:type="dxa"/>
            <w:vAlign w:val="bottom"/>
            <w:gridSpan w:val="2"/>
          </w:tcPr>
          <w:p>
            <w:pPr>
              <w:ind w:left="1860"/>
              <w:spacing w:after="0"/>
              <w:rPr>
                <w:sz w:val="20"/>
                <w:szCs w:val="20"/>
                <w:color w:val="auto"/>
              </w:rPr>
            </w:pPr>
            <w:r>
              <w:rPr>
                <w:rFonts w:ascii="Times New Roman" w:cs="Times New Roman" w:eastAsia="Times New Roman" w:hAnsi="Times New Roman"/>
                <w:sz w:val="16"/>
                <w:szCs w:val="16"/>
                <w:b w:val="1"/>
                <w:bCs w:val="1"/>
                <w:color w:val="auto"/>
                <w:w w:val="98"/>
              </w:rPr>
              <w:t>MediaAlpha, Inc.</w:t>
            </w:r>
          </w:p>
        </w:tc>
        <w:tc>
          <w:tcPr>
            <w:tcW w:w="5040" w:type="dxa"/>
            <w:vAlign w:val="bottom"/>
          </w:tcPr>
          <w:p>
            <w:pPr>
              <w:spacing w:after="0"/>
              <w:rPr>
                <w:sz w:val="18"/>
                <w:szCs w:val="18"/>
                <w:color w:val="auto"/>
              </w:rPr>
            </w:pPr>
          </w:p>
        </w:tc>
      </w:tr>
      <w:tr>
        <w:trPr>
          <w:trHeight w:val="425"/>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Date: April 29, 2026</w:t>
            </w:r>
          </w:p>
        </w:tc>
        <w:tc>
          <w:tcPr>
            <w:tcW w:w="8100" w:type="dxa"/>
            <w:vAlign w:val="bottom"/>
            <w:gridSpan w:val="3"/>
          </w:tcPr>
          <w:p>
            <w:pPr>
              <w:ind w:left="1860"/>
              <w:spacing w:after="0"/>
              <w:rPr>
                <w:sz w:val="20"/>
                <w:szCs w:val="20"/>
                <w:color w:val="auto"/>
              </w:rPr>
            </w:pPr>
            <w:r>
              <w:rPr>
                <w:rFonts w:ascii="Times New Roman" w:cs="Times New Roman" w:eastAsia="Times New Roman" w:hAnsi="Times New Roman"/>
                <w:sz w:val="16"/>
                <w:szCs w:val="16"/>
                <w:color w:val="auto"/>
              </w:rPr>
              <w:t>By:   /s/ Jeffrey B. Coyne</w:t>
            </w:r>
          </w:p>
        </w:tc>
      </w:tr>
      <w:tr>
        <w:trPr>
          <w:trHeight w:val="188"/>
        </w:trPr>
        <w:tc>
          <w:tcPr>
            <w:tcW w:w="31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Name:</w:t>
            </w:r>
          </w:p>
        </w:tc>
        <w:tc>
          <w:tcPr>
            <w:tcW w:w="5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Jeffrey B. Coyne</w:t>
            </w:r>
          </w:p>
        </w:tc>
      </w:tr>
      <w:tr>
        <w:trPr>
          <w:trHeight w:val="206"/>
        </w:trPr>
        <w:tc>
          <w:tcPr>
            <w:tcW w:w="31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Counsel &amp; Secretary</w:t>
            </w:r>
          </w:p>
        </w:tc>
      </w:tr>
    </w:tbl>
    <w:p>
      <w:pPr>
        <w:sectPr>
          <w:pgSz w:w="11900" w:h="16838" w:orient="portrait"/>
          <w:cols w:equalWidth="0" w:num="1">
            <w:col w:w="11260"/>
          </w:cols>
          <w:pgMar w:left="320" w:top="878"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MEDIAALPHA ANNOUNCES FIRST QUARTER 2026</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RESULTS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First Quarter Revenue Growth of 17%;</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Record Revenue of $310.0 million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First Quarter Net Income of $14.0 million; Adjusted EBITDA</w:t>
      </w:r>
      <w:r>
        <w:rPr>
          <w:rFonts w:ascii="Times New Roman" w:cs="Times New Roman" w:eastAsia="Times New Roman" w:hAnsi="Times New Roman"/>
          <w:sz w:val="20"/>
          <w:szCs w:val="20"/>
          <w:b w:val="1"/>
          <w:bCs w:val="1"/>
          <w:i w:val="1"/>
          <w:iCs w:val="1"/>
          <w:color w:val="auto"/>
          <w:vertAlign w:val="superscript"/>
        </w:rPr>
        <w:t>(1)</w:t>
      </w:r>
      <w:r>
        <w:rPr>
          <w:rFonts w:ascii="Times New Roman" w:cs="Times New Roman" w:eastAsia="Times New Roman" w:hAnsi="Times New Roman"/>
          <w:sz w:val="17"/>
          <w:szCs w:val="17"/>
          <w:b w:val="1"/>
          <w:bCs w:val="1"/>
          <w:i w:val="1"/>
          <w:iCs w:val="1"/>
          <w:color w:val="auto"/>
        </w:rPr>
        <w:t>of $31.4 million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Repurchased over $25 million of stock during 2026</w:t>
      </w:r>
    </w:p>
    <w:p>
      <w:pPr>
        <w:spacing w:after="0" w:line="222" w:lineRule="exact"/>
        <w:rPr>
          <w:sz w:val="20"/>
          <w:szCs w:val="20"/>
          <w:color w:val="auto"/>
        </w:rPr>
      </w:pPr>
    </w:p>
    <w:p>
      <w:pPr>
        <w:ind w:right="480"/>
        <w:spacing w:after="0" w:line="299" w:lineRule="auto"/>
        <w:rPr>
          <w:sz w:val="20"/>
          <w:szCs w:val="20"/>
          <w:color w:val="auto"/>
        </w:rPr>
      </w:pPr>
      <w:r>
        <w:rPr>
          <w:rFonts w:ascii="Times New Roman" w:cs="Times New Roman" w:eastAsia="Times New Roman" w:hAnsi="Times New Roman"/>
          <w:sz w:val="17"/>
          <w:szCs w:val="17"/>
          <w:color w:val="auto"/>
        </w:rPr>
        <w:t>Los Angeles, CA (April 29, 2026) – MediaAlpha, Inc. (NYSE: MAX) ("MediaAlpha" or the "Company"), today announced its financial results for the first quarter ended March 31, 2026.</w:t>
      </w:r>
    </w:p>
    <w:p>
      <w:pPr>
        <w:spacing w:after="0" w:line="14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“We delivered record first-quarter results, driven by strong auto insurance advertising spend and broader carrier participation resulting in a continued favorable mix shift to our Open Marketplace,” said Steve Yi, CEO of MediaAlpha. “We are energized by our deeper engagement with a growing number of carriers about further leveraging our trusted infrastructure and AI-powered targeting capabilities to maximize their ROI and gain share in a highly competitive market.” MediaAlpha CFO Pat Thompson added, “During the quarter, we refinanced our credit facilities, extending our debt maturity profile to 2031. We continue to return significant capital to our shareholders, repurchasing over $25 million of stock year to date and $73 million over the past three quarters, representing 10% of our outstanding shares. We remain on track to complete the vast majority of the remaining $60 million authorization in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First Quarter 2026 Financial Results</w:t>
      </w:r>
    </w:p>
    <w:p>
      <w:pPr>
        <w:spacing w:after="0" w:line="33" w:lineRule="exact"/>
        <w:rPr>
          <w:sz w:val="20"/>
          <w:szCs w:val="20"/>
          <w:color w:val="auto"/>
        </w:rPr>
      </w:pPr>
    </w:p>
    <w:p>
      <w:pPr>
        <w:ind w:left="560" w:hanging="282"/>
        <w:spacing w:after="0"/>
        <w:tabs>
          <w:tab w:leader="none" w:pos="5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of $310.0 million, an increase of 17% year over year;</w:t>
      </w:r>
    </w:p>
    <w:p>
      <w:pPr>
        <w:spacing w:after="0" w:line="11" w:lineRule="exact"/>
        <w:rPr>
          <w:rFonts w:ascii="Times New Roman" w:cs="Times New Roman" w:eastAsia="Times New Roman" w:hAnsi="Times New Roman"/>
          <w:sz w:val="17"/>
          <w:szCs w:val="17"/>
          <w:color w:val="auto"/>
        </w:rPr>
      </w:pPr>
    </w:p>
    <w:p>
      <w:pPr>
        <w:ind w:left="560" w:hanging="282"/>
        <w:spacing w:after="0"/>
        <w:tabs>
          <w:tab w:leader="none" w:pos="560" w:val="left"/>
        </w:tabs>
        <w:numPr>
          <w:ilvl w:val="0"/>
          <w:numId w:val="2"/>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rPr>
        <w:t>Gross margin of 15.1%, compared with 15.8% in the first quarter of 2025;</w:t>
      </w:r>
    </w:p>
    <w:p>
      <w:pPr>
        <w:spacing w:after="0" w:line="10" w:lineRule="exact"/>
        <w:rPr>
          <w:rFonts w:ascii="Times New Roman" w:cs="Times New Roman" w:eastAsia="Times New Roman" w:hAnsi="Times New Roman"/>
          <w:sz w:val="17"/>
          <w:szCs w:val="17"/>
          <w:color w:val="auto"/>
          <w:strike w:val="1"/>
        </w:rPr>
      </w:pPr>
    </w:p>
    <w:p>
      <w:pPr>
        <w:ind w:left="560" w:hanging="282"/>
        <w:spacing w:after="0" w:line="196" w:lineRule="auto"/>
        <w:tabs>
          <w:tab w:leader="none" w:pos="5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Contribution Margin</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of 15.7%, compared with 16.6% in the first quarter of 2025;</w:t>
      </w:r>
    </w:p>
    <w:p>
      <w:pPr>
        <w:ind w:left="560" w:hanging="282"/>
        <w:spacing w:after="0"/>
        <w:tabs>
          <w:tab w:leader="none" w:pos="5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was $14.0 million, compared with a net loss of $(2.3) million in the first quarter of 2025;</w:t>
      </w:r>
    </w:p>
    <w:p>
      <w:pPr>
        <w:spacing w:after="0" w:line="10" w:lineRule="exact"/>
        <w:rPr>
          <w:rFonts w:ascii="Times New Roman" w:cs="Times New Roman" w:eastAsia="Times New Roman" w:hAnsi="Times New Roman"/>
          <w:sz w:val="17"/>
          <w:szCs w:val="17"/>
          <w:color w:val="auto"/>
        </w:rPr>
      </w:pPr>
    </w:p>
    <w:p>
      <w:pPr>
        <w:ind w:left="560" w:hanging="282"/>
        <w:spacing w:after="0" w:line="208" w:lineRule="auto"/>
        <w:tabs>
          <w:tab w:leader="none" w:pos="5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was $31.4 million, compared with $29.4 million in the first quarter of 2025;</w:t>
      </w:r>
    </w:p>
    <w:p>
      <w:pPr>
        <w:ind w:left="560" w:right="340" w:hanging="282"/>
        <w:spacing w:after="0" w:line="250" w:lineRule="auto"/>
        <w:tabs>
          <w:tab w:leader="none" w:pos="55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Repurchased approximately 2.6 million shares for $25 million year to date, bringing cumulative repurchases under the Company's $100 million share repurchase program to 3.7 million shares;</w:t>
      </w:r>
    </w:p>
    <w:p>
      <w:pPr>
        <w:ind w:left="560" w:right="300" w:hanging="282"/>
        <w:spacing w:after="0" w:line="268" w:lineRule="auto"/>
        <w:tabs>
          <w:tab w:leader="none" w:pos="55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Completed refinancing of credit facilities, establishing a new $150 million term loan and $60 million revolving credit facility, both maturing in March 2031.</w:t>
      </w:r>
    </w:p>
    <w:p>
      <w:pPr>
        <w:spacing w:after="0" w:line="177"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0"/>
          <w:szCs w:val="20"/>
          <w:i w:val="1"/>
          <w:iCs w:val="1"/>
          <w:color w:val="auto"/>
          <w:vertAlign w:val="superscript"/>
        </w:rPr>
        <w:t>(1)</w:t>
      </w:r>
      <w:r>
        <w:rPr>
          <w:rFonts w:ascii="Times New Roman" w:cs="Times New Roman" w:eastAsia="Times New Roman" w:hAnsi="Times New Roman"/>
          <w:sz w:val="16"/>
          <w:szCs w:val="16"/>
          <w:i w:val="1"/>
          <w:iCs w:val="1"/>
          <w:color w:val="auto"/>
        </w:rPr>
        <w:t>A reconciliation of GAAP to Non-GAAP financial measures has been provided at the end of this press release. An explanation of these measures is also included below under the heading “Non-GAAP Financial Measures.”</w:t>
      </w:r>
    </w:p>
    <w:p>
      <w:pPr>
        <w:sectPr>
          <w:pgSz w:w="11900" w:h="16838" w:orient="portrait"/>
          <w:cols w:equalWidth="0" w:num="1">
            <w:col w:w="11260"/>
          </w:cols>
          <w:pgMar w:left="320" w:top="121" w:right="319" w:bottom="1440" w:gutter="0" w:footer="0" w:header="0"/>
        </w:sectPr>
      </w:pPr>
    </w:p>
    <w:bookmarkStart w:id="5" w:name="page6"/>
    <w:bookmarkEnd w:id="5"/>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Outlook</w:t>
      </w:r>
    </w:p>
    <w:p>
      <w:pPr>
        <w:spacing w:after="0" w:line="6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Our guidance for the second quarter of 2026 reflects continued strength in our Property &amp; Casualty (P&amp;C) insurance vertical. We expect revenue to grow approximately 19% year over year, driven by strong carrier growth investment and continued share gains within P&amp;C. We expect our Health insurance vertical to account for approximately 1% of revenue.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second quarter of 2026, MediaAlpha currently expects the following:</w:t>
      </w:r>
    </w:p>
    <w:p>
      <w:pPr>
        <w:spacing w:after="0" w:line="234" w:lineRule="exact"/>
        <w:rPr>
          <w:sz w:val="20"/>
          <w:szCs w:val="20"/>
          <w:color w:val="auto"/>
        </w:rPr>
      </w:pPr>
    </w:p>
    <w:p>
      <w:pPr>
        <w:ind w:left="560" w:hanging="282"/>
        <w:spacing w:after="0"/>
        <w:tabs>
          <w:tab w:leader="none" w:pos="5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Revenue between $290 million - $310 million, representing a 19% year-over-year increase at the midpoint of the guidance range.</w:t>
      </w:r>
    </w:p>
    <w:p>
      <w:pPr>
        <w:spacing w:after="0" w:line="12" w:lineRule="exact"/>
        <w:rPr>
          <w:rFonts w:ascii="Times New Roman" w:cs="Times New Roman" w:eastAsia="Times New Roman" w:hAnsi="Times New Roman"/>
          <w:sz w:val="19"/>
          <w:szCs w:val="19"/>
          <w:color w:val="auto"/>
        </w:rPr>
      </w:pPr>
    </w:p>
    <w:p>
      <w:pPr>
        <w:ind w:left="560" w:hanging="282"/>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Contribution between $45.5 million - $48.5 million, representing a 18% year-over-year increase at the midpoint of the guidance range.</w:t>
      </w:r>
    </w:p>
    <w:p>
      <w:pPr>
        <w:spacing w:after="0" w:line="13" w:lineRule="exact"/>
        <w:rPr>
          <w:rFonts w:ascii="Times New Roman" w:cs="Times New Roman" w:eastAsia="Times New Roman" w:hAnsi="Times New Roman"/>
          <w:sz w:val="17"/>
          <w:szCs w:val="17"/>
          <w:color w:val="auto"/>
        </w:rPr>
      </w:pPr>
    </w:p>
    <w:p>
      <w:pPr>
        <w:ind w:left="560" w:hanging="282"/>
        <w:spacing w:after="0" w:line="256" w:lineRule="auto"/>
        <w:tabs>
          <w:tab w:leader="none" w:pos="555"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Adjusted EBITDA between $28.0 million - $30.5 million, representing a 19% year-over-year increase at the midpoint of the guidance range, including an approximately $2 million year-over-year decline in Contribution from under-65 Health. Excluding under-65 Health, we expect Contribution to increase by 25% year over year and Adjusted EBITDA to increase by 31% year over year at the guidance midpoints.</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Effective with the first quarter of 2026, the Company is discontinuing its reporting of and guidance for Transaction Value, a non-GAAP operating metric, in order to simplify our reporting structure. As our scale advantage has become well-established, the Company believes that Revenue, Contribution, Contribution Margin, and Adjusted EBITDA are the most relevant metrics for investors evaluating the Company's performance relative to our peers.</w:t>
      </w:r>
    </w:p>
    <w:p>
      <w:pPr>
        <w:spacing w:after="0" w:line="14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With respect to the Company’s projections of Adjusted EBITDA and Contribution under “Financial Outlook,” MediaAlpha is not providing a reconciliation of Adjusted EBITDA to net income (loss), or of Contribution to gross profit, because the Company is unable to predict with reasonable certainty the reconciling items that may affect the corresponding GAAP measures without unreasonable effort. These reconciling items are uncertain, depend on various factors and could significantly impact, either individually or in the aggregate, the corresponding GAAP measures for the applicable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detailed explanation of the Company’s non-GAAP measures, please refer to the appendix section of this press release.</w:t>
      </w:r>
    </w:p>
    <w:p>
      <w:pPr>
        <w:sectPr>
          <w:pgSz w:w="11900" w:h="16838" w:orient="portrait"/>
          <w:cols w:equalWidth="0" w:num="1">
            <w:col w:w="11220"/>
          </w:cols>
          <w:pgMar w:left="320" w:top="144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Conference Call Information</w:t>
      </w:r>
    </w:p>
    <w:p>
      <w:pPr>
        <w:spacing w:after="0" w:line="67"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7"/>
          <w:szCs w:val="17"/>
          <w:color w:val="auto"/>
        </w:rPr>
        <w:t xml:space="preserve">MediaAlpha will host a Q&amp;A conference call today to discuss the Company's first quarter 2026 results and its financial outlook for the second quarter of 2026 at 2:00 p.m. Pacific Time (5:00 p.m. Eastern Time). A live audio webcast of the call will be available on the MediaAlpha Investor Relations website at </w:t>
      </w:r>
      <w:r>
        <w:rPr>
          <w:rFonts w:ascii="Times New Roman" w:cs="Times New Roman" w:eastAsia="Times New Roman" w:hAnsi="Times New Roman"/>
          <w:sz w:val="17"/>
          <w:szCs w:val="17"/>
          <w:u w:val="single" w:color="auto"/>
          <w:color w:val="auto"/>
        </w:rPr>
        <w:t>https://investors.mediaalpha.com</w:t>
      </w:r>
      <w:r>
        <w:rPr>
          <w:rFonts w:ascii="Times New Roman" w:cs="Times New Roman" w:eastAsia="Times New Roman" w:hAnsi="Times New Roman"/>
          <w:sz w:val="17"/>
          <w:szCs w:val="17"/>
          <w:color w:val="auto"/>
        </w:rPr>
        <w:t xml:space="preserve">. To register for the webcast, click here. Participants may also dial-in, toll-free, at (800) 715-9871 or (646) 307-1963, with passcode 4459225. An audio replay of the conference call will be available following the call and available on the MediaAlpha Investor Relations website at </w:t>
      </w:r>
      <w:r>
        <w:rPr>
          <w:rFonts w:ascii="Times New Roman" w:cs="Times New Roman" w:eastAsia="Times New Roman" w:hAnsi="Times New Roman"/>
          <w:sz w:val="17"/>
          <w:szCs w:val="17"/>
          <w:u w:val="single" w:color="auto"/>
          <w:color w:val="auto"/>
        </w:rPr>
        <w:t>https://investors.mediaalpha.com</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 xml:space="preserve">The Company has also posted </w:t>
      </w:r>
      <w:r>
        <w:rPr>
          <w:rFonts w:ascii="Times New Roman" w:cs="Times New Roman" w:eastAsia="Times New Roman" w:hAnsi="Times New Roman"/>
          <w:sz w:val="17"/>
          <w:szCs w:val="17"/>
          <w:u w:val="single" w:color="auto"/>
          <w:color w:val="0000FF"/>
        </w:rPr>
        <w:t>investor supplemental materials</w:t>
      </w:r>
      <w:r>
        <w:rPr>
          <w:rFonts w:ascii="Times New Roman" w:cs="Times New Roman" w:eastAsia="Times New Roman" w:hAnsi="Times New Roman"/>
          <w:sz w:val="17"/>
          <w:szCs w:val="17"/>
          <w:color w:val="auto"/>
        </w:rPr>
        <w:t xml:space="preserve"> on its investor relations website. MediaAlpha has used, and intends to continue to use, its investor relations website at </w:t>
      </w:r>
      <w:r>
        <w:rPr>
          <w:rFonts w:ascii="Times New Roman" w:cs="Times New Roman" w:eastAsia="Times New Roman" w:hAnsi="Times New Roman"/>
          <w:sz w:val="17"/>
          <w:szCs w:val="17"/>
          <w:u w:val="single" w:color="auto"/>
          <w:color w:val="auto"/>
        </w:rPr>
        <w:t>https://investors.mediaalpha.com</w:t>
      </w:r>
      <w:r>
        <w:rPr>
          <w:rFonts w:ascii="Times New Roman" w:cs="Times New Roman" w:eastAsia="Times New Roman" w:hAnsi="Times New Roman"/>
          <w:sz w:val="17"/>
          <w:szCs w:val="17"/>
          <w:color w:val="auto"/>
        </w:rPr>
        <w:t xml:space="preserve"> as a means of disclosing material nonpublic information and for complying with its disclosure obligations under Regulation FD.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Private Securities Litigation Reform Act of 1995, including without limitation statements regarding our deeper engagement with a growing number of carriers about further leveraging our trusted infrastructure and AI-powered targeting capabilities; our expectations regarding the timing and amounts of share repurchases; and our financial outlook for the second quarter of 2026. These forward-looking statements reflect our current views with respect to, among other things, future events and our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There are or will be important factors that could cause our actual results to differ materially from those indicated in these forward-looking statements, including those more fully described in MediaAlpha’s filings with the Securities and Exchange Commission (“SEC”), including the Form 10-K filed on February 23, 2026 and the Form 10-Q to be filed on April 29, 2026. These factors should not be construed as exhaustive. MediaAlpha disclaims any obligation to update any forward-looking statements to reflect events or circumstances that occur after the date of this press release.</w:t>
      </w:r>
    </w:p>
    <w:p>
      <w:pPr>
        <w:sectPr>
          <w:pgSz w:w="11900" w:h="16838" w:orient="portrait"/>
          <w:cols w:equalWidth="0" w:num="1">
            <w:col w:w="11260"/>
          </w:cols>
          <w:pgMar w:left="320" w:top="1252" w:right="319" w:bottom="1440" w:gutter="0" w:footer="0" w:header="0"/>
        </w:sectPr>
      </w:pPr>
    </w:p>
    <w:bookmarkStart w:id="7" w:name="page8"/>
    <w:bookmarkEnd w:id="7"/>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 and Operating Metrics</w:t>
      </w:r>
    </w:p>
    <w:p>
      <w:pPr>
        <w:spacing w:after="0" w:line="6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7"/>
          <w:szCs w:val="17"/>
          <w:color w:val="auto"/>
        </w:rPr>
        <w:t>This press release includes Adjusted EBITDA, Contribution, and Contribution Margin, which are non-GAAP financial measures. See the appendix for definitions of Adjusted EBITDA, Contribution and Contribution Margin, as well as reconciliations to the corresponding GAAP financial metrics, as applicable.</w:t>
      </w:r>
    </w:p>
    <w:p>
      <w:pPr>
        <w:spacing w:after="0" w:line="1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present Adjusted EBITDA, Contribution, and Contribution Margin because they are used extensively by our management and board of directors to manage our operating performance, including evaluating our operational performance against budget and assessing our overall operating efficiency and operating leverage. Accordingly, we believe that Adjusted EBITDA, Contribution, and Contribution Margin provide useful information to investors and others in understanding and evaluating our operating results in the same manner as our management team and board of directors. Each of Adjusted EBITDA, Contribution, and Contribution Margin has limitations as a financial measure and investors should not consider it in isolation or as a substitute for analysis of our results as reported under GAAP.</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MediaAlpha</w:t>
      </w:r>
    </w:p>
    <w:p>
      <w:pPr>
        <w:spacing w:after="0" w:line="33"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7"/>
          <w:szCs w:val="17"/>
          <w:color w:val="auto"/>
        </w:rPr>
        <w:t>We believe we are the insurance industry’s leading programmatic customer acquisition platform. With more than 1,150 active partners, in addition to our agent partners, we connect insurance carriers with online shoppers and generated over 141 million Consumer Referrals in 2025. Our programmatic advertising technology powered $2.2 billion in spend in 2025 on brand, comparison, and metasearch sites across property &amp; casualty insurance, health insurance, life insurance, and other industries. For more information, please visit www.mediaalpha.com.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Contacts: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Denise Garcia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Hayflower Partners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0000FF"/>
        </w:rPr>
        <w:t>Denise@HayflowerPartners.com</w:t>
      </w:r>
    </w:p>
    <w:p>
      <w:pPr>
        <w:sectPr>
          <w:pgSz w:w="11900" w:h="16838" w:orient="portrait"/>
          <w:cols w:equalWidth="0" w:num="1">
            <w:col w:w="11260"/>
          </w:cols>
          <w:pgMar w:left="320" w:top="1440"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MediaAlpha, Inc. and subsidiaries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(Unaudited; in thousands, except share data and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6"/>
                <w:szCs w:val="16"/>
                <w:color w:val="auto"/>
              </w:rPr>
            </w:pPr>
          </w:p>
        </w:tc>
        <w:tc>
          <w:tcPr>
            <w:tcW w:w="134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1"/>
        </w:trPr>
        <w:tc>
          <w:tcPr>
            <w:tcW w:w="80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8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46,876</w:t>
            </w:r>
          </w:p>
        </w:tc>
        <w:tc>
          <w:tcPr>
            <w:tcW w:w="0" w:type="dxa"/>
            <w:vAlign w:val="bottom"/>
          </w:tcPr>
          <w:p>
            <w:pPr>
              <w:spacing w:after="0"/>
              <w:rPr>
                <w:sz w:val="1"/>
                <w:szCs w:val="1"/>
                <w:color w:val="auto"/>
              </w:rPr>
            </w:pPr>
          </w:p>
        </w:tc>
      </w:tr>
      <w:tr>
        <w:trPr>
          <w:trHeight w:val="225"/>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$762 and $717, respectively</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123,019</w:t>
            </w:r>
          </w:p>
        </w:tc>
        <w:tc>
          <w:tcPr>
            <w:tcW w:w="0" w:type="dxa"/>
            <w:vAlign w:val="bottom"/>
          </w:tcPr>
          <w:p>
            <w:pPr>
              <w:spacing w:after="0"/>
              <w:rPr>
                <w:sz w:val="1"/>
                <w:szCs w:val="1"/>
                <w:color w:val="auto"/>
              </w:rPr>
            </w:pPr>
          </w:p>
        </w:tc>
      </w:tr>
      <w:tr>
        <w:trPr>
          <w:trHeight w:val="35"/>
        </w:trPr>
        <w:tc>
          <w:tcPr>
            <w:tcW w:w="8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0" w:type="dxa"/>
            <w:vAlign w:val="bottom"/>
          </w:tcPr>
          <w:p>
            <w:pPr>
              <w:spacing w:after="0"/>
              <w:rPr>
                <w:sz w:val="1"/>
                <w:szCs w:val="1"/>
                <w:color w:val="auto"/>
              </w:rPr>
            </w:pPr>
          </w:p>
        </w:tc>
      </w:tr>
      <w:tr>
        <w:trPr>
          <w:trHeight w:val="217"/>
        </w:trPr>
        <w:tc>
          <w:tcPr>
            <w:tcW w:w="80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165,205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174,372</w:t>
            </w:r>
          </w:p>
        </w:tc>
        <w:tc>
          <w:tcPr>
            <w:tcW w:w="0" w:type="dxa"/>
            <w:vAlign w:val="bottom"/>
          </w:tcPr>
          <w:p>
            <w:pPr>
              <w:spacing w:after="0"/>
              <w:rPr>
                <w:sz w:val="1"/>
                <w:szCs w:val="1"/>
                <w:color w:val="auto"/>
              </w:rPr>
            </w:pPr>
          </w:p>
        </w:tc>
      </w:tr>
      <w:tr>
        <w:trPr>
          <w:trHeight w:val="35"/>
        </w:trPr>
        <w:tc>
          <w:tcPr>
            <w:tcW w:w="8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47,739</w:t>
            </w:r>
          </w:p>
        </w:tc>
        <w:tc>
          <w:tcPr>
            <w:tcW w:w="0" w:type="dxa"/>
            <w:vAlign w:val="bottom"/>
          </w:tcPr>
          <w:p>
            <w:pPr>
              <w:spacing w:after="0"/>
              <w:rPr>
                <w:sz w:val="1"/>
                <w:szCs w:val="1"/>
                <w:color w:val="auto"/>
              </w:rPr>
            </w:pPr>
          </w:p>
        </w:tc>
      </w:tr>
      <w:tr>
        <w:trPr>
          <w:trHeight w:val="35"/>
        </w:trPr>
        <w:tc>
          <w:tcPr>
            <w:tcW w:w="8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149,734</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8,396</w:t>
            </w:r>
          </w:p>
        </w:tc>
        <w:tc>
          <w:tcPr>
            <w:tcW w:w="0" w:type="dxa"/>
            <w:vAlign w:val="bottom"/>
          </w:tcPr>
          <w:p>
            <w:pPr>
              <w:spacing w:after="0"/>
              <w:rPr>
                <w:sz w:val="1"/>
                <w:szCs w:val="1"/>
                <w:color w:val="auto"/>
              </w:rPr>
            </w:pPr>
          </w:p>
        </w:tc>
      </w:tr>
      <w:tr>
        <w:trPr>
          <w:trHeight w:val="35"/>
        </w:trPr>
        <w:tc>
          <w:tcPr>
            <w:tcW w:w="80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80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367,715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383,831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8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91,398</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91,094</w:t>
            </w:r>
          </w:p>
        </w:tc>
        <w:tc>
          <w:tcPr>
            <w:tcW w:w="0" w:type="dxa"/>
            <w:vAlign w:val="bottom"/>
          </w:tcPr>
          <w:p>
            <w:pPr>
              <w:spacing w:after="0"/>
              <w:rPr>
                <w:sz w:val="1"/>
                <w:szCs w:val="1"/>
                <w:color w:val="auto"/>
              </w:rPr>
            </w:pPr>
          </w:p>
        </w:tc>
      </w:tr>
      <w:tr>
        <w:trPr>
          <w:trHeight w:val="35"/>
        </w:trPr>
        <w:tc>
          <w:tcPr>
            <w:tcW w:w="8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34,746</w:t>
            </w:r>
          </w:p>
        </w:tc>
        <w:tc>
          <w:tcPr>
            <w:tcW w:w="0" w:type="dxa"/>
            <w:vAlign w:val="bottom"/>
          </w:tcPr>
          <w:p>
            <w:pPr>
              <w:spacing w:after="0"/>
              <w:rPr>
                <w:sz w:val="1"/>
                <w:szCs w:val="1"/>
                <w:color w:val="auto"/>
              </w:rPr>
            </w:pPr>
          </w:p>
        </w:tc>
      </w:tr>
      <w:tr>
        <w:trPr>
          <w:trHeight w:val="225"/>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21,807</w:t>
            </w:r>
          </w:p>
        </w:tc>
        <w:tc>
          <w:tcPr>
            <w:tcW w:w="0" w:type="dxa"/>
            <w:vAlign w:val="bottom"/>
          </w:tcPr>
          <w:p>
            <w:pPr>
              <w:spacing w:after="0"/>
              <w:rPr>
                <w:sz w:val="1"/>
                <w:szCs w:val="1"/>
                <w:color w:val="auto"/>
              </w:rPr>
            </w:pPr>
          </w:p>
        </w:tc>
      </w:tr>
      <w:tr>
        <w:trPr>
          <w:trHeight w:val="35"/>
        </w:trPr>
        <w:tc>
          <w:tcPr>
            <w:tcW w:w="80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80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147,647</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131,602</w:t>
            </w:r>
          </w:p>
        </w:tc>
        <w:tc>
          <w:tcPr>
            <w:tcW w:w="0" w:type="dxa"/>
            <w:vAlign w:val="bottom"/>
          </w:tcPr>
          <w:p>
            <w:pPr>
              <w:spacing w:after="0"/>
              <w:rPr>
                <w:sz w:val="1"/>
                <w:szCs w:val="1"/>
                <w:color w:val="auto"/>
              </w:rPr>
            </w:pPr>
          </w:p>
        </w:tc>
      </w:tr>
      <w:tr>
        <w:trPr>
          <w:trHeight w:val="35"/>
        </w:trPr>
        <w:tc>
          <w:tcPr>
            <w:tcW w:w="8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under tax receivables agreement, net of current portion</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124,212</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9,564</w:t>
            </w:r>
          </w:p>
        </w:tc>
        <w:tc>
          <w:tcPr>
            <w:tcW w:w="0" w:type="dxa"/>
            <w:vAlign w:val="bottom"/>
          </w:tcPr>
          <w:p>
            <w:pPr>
              <w:spacing w:after="0"/>
              <w:rPr>
                <w:sz w:val="1"/>
                <w:szCs w:val="1"/>
                <w:color w:val="auto"/>
              </w:rPr>
            </w:pPr>
          </w:p>
        </w:tc>
      </w:tr>
      <w:tr>
        <w:trPr>
          <w:trHeight w:val="35"/>
        </w:trPr>
        <w:tc>
          <w:tcPr>
            <w:tcW w:w="80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80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396,807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413,025</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8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common stock, $0.01 par value - 1.0 billion shares authorized; 54.6 million and 56.2 million shares issued and</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as of March 31, 2026 and December 31, 2025, respectively</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0" w:type="dxa"/>
            <w:vAlign w:val="bottom"/>
          </w:tcPr>
          <w:p>
            <w:pPr>
              <w:spacing w:after="0"/>
              <w:rPr>
                <w:sz w:val="1"/>
                <w:szCs w:val="1"/>
                <w:color w:val="auto"/>
              </w:rPr>
            </w:pPr>
          </w:p>
        </w:tc>
      </w:tr>
      <w:tr>
        <w:trPr>
          <w:trHeight w:val="35"/>
        </w:trPr>
        <w:tc>
          <w:tcPr>
            <w:tcW w:w="8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common stock, $0.01 par value - 100 million shares authorized; 8.3 million and 8.3 million shares issued and</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as of March 31, 2026 and December 31, 2025,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20"/>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- 50 million shares authorized; 0 shares issued and outstanding as of March 31, 2026 and</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2025</w:t>
            </w:r>
          </w:p>
        </w:tc>
        <w:tc>
          <w:tcPr>
            <w:tcW w:w="2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
        </w:trPr>
        <w:tc>
          <w:tcPr>
            <w:tcW w:w="8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483,825</w:t>
            </w:r>
          </w:p>
        </w:tc>
        <w:tc>
          <w:tcPr>
            <w:tcW w:w="0" w:type="dxa"/>
            <w:vAlign w:val="bottom"/>
          </w:tcPr>
          <w:p>
            <w:pPr>
              <w:spacing w:after="0"/>
              <w:rPr>
                <w:sz w:val="1"/>
                <w:szCs w:val="1"/>
                <w:color w:val="auto"/>
              </w:rPr>
            </w:pPr>
          </w:p>
        </w:tc>
      </w:tr>
      <w:tr>
        <w:trPr>
          <w:trHeight w:val="225"/>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(480,310)</w:t>
            </w:r>
          </w:p>
        </w:tc>
        <w:tc>
          <w:tcPr>
            <w:tcW w:w="0" w:type="dxa"/>
            <w:vAlign w:val="bottom"/>
          </w:tcPr>
          <w:p>
            <w:pPr>
              <w:spacing w:after="0"/>
              <w:rPr>
                <w:sz w:val="1"/>
                <w:szCs w:val="1"/>
                <w:color w:val="auto"/>
              </w:rPr>
            </w:pPr>
          </w:p>
        </w:tc>
      </w:tr>
      <w:tr>
        <w:trPr>
          <w:trHeight w:val="35"/>
        </w:trPr>
        <w:tc>
          <w:tcPr>
            <w:tcW w:w="80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 attributable to MediaAlpha, Inc.</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(33,354)</w:t>
            </w:r>
          </w:p>
        </w:tc>
        <w:tc>
          <w:tcPr>
            <w:tcW w:w="0" w:type="dxa"/>
            <w:vAlign w:val="bottom"/>
          </w:tcPr>
          <w:p>
            <w:pPr>
              <w:spacing w:after="0"/>
              <w:rPr>
                <w:sz w:val="1"/>
                <w:szCs w:val="1"/>
                <w:color w:val="auto"/>
              </w:rPr>
            </w:pPr>
          </w:p>
        </w:tc>
      </w:tr>
      <w:tr>
        <w:trPr>
          <w:trHeight w:val="35"/>
        </w:trPr>
        <w:tc>
          <w:tcPr>
            <w:tcW w:w="80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(29,194)</w:t>
            </w:r>
          </w:p>
        </w:tc>
        <w:tc>
          <w:tcPr>
            <w:tcW w:w="0" w:type="dxa"/>
            <w:vAlign w:val="bottom"/>
          </w:tcPr>
          <w:p>
            <w:pPr>
              <w:spacing w:after="0"/>
              <w:rPr>
                <w:sz w:val="1"/>
                <w:szCs w:val="1"/>
                <w:color w:val="auto"/>
              </w:rPr>
            </w:pPr>
          </w:p>
        </w:tc>
      </w:tr>
      <w:tr>
        <w:trPr>
          <w:trHeight w:val="217"/>
        </w:trPr>
        <w:tc>
          <w:tcPr>
            <w:tcW w:w="80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28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367,715</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383,831</w:t>
            </w:r>
          </w:p>
        </w:tc>
        <w:tc>
          <w:tcPr>
            <w:tcW w:w="0" w:type="dxa"/>
            <w:vAlign w:val="bottom"/>
          </w:tcPr>
          <w:p>
            <w:pPr>
              <w:spacing w:after="0"/>
              <w:rPr>
                <w:sz w:val="1"/>
                <w:szCs w:val="1"/>
                <w:color w:val="auto"/>
              </w:rPr>
            </w:pPr>
          </w:p>
        </w:tc>
      </w:tr>
      <w:tr>
        <w:trPr>
          <w:trHeight w:val="35"/>
        </w:trPr>
        <w:tc>
          <w:tcPr>
            <w:tcW w:w="8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1351" w:right="3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MediaAlpha, Inc. and subsidiaries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(Unaudited; in thousands, except share data and per share amounts)</w:t>
      </w:r>
    </w:p>
    <w:p>
      <w:pPr>
        <w:spacing w:after="0" w:line="120"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8"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41910</wp:posOffset>
            </wp:positionV>
            <wp:extent cx="20650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65020" cy="762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1"/>
        </w:trPr>
        <w:tc>
          <w:tcPr>
            <w:tcW w:w="80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264,309</w:t>
            </w:r>
          </w:p>
        </w:tc>
        <w:tc>
          <w:tcPr>
            <w:tcW w:w="0" w:type="dxa"/>
            <w:vAlign w:val="bottom"/>
          </w:tcPr>
          <w:p>
            <w:pPr>
              <w:spacing w:after="0"/>
              <w:rPr>
                <w:sz w:val="1"/>
                <w:szCs w:val="1"/>
                <w:color w:val="auto"/>
              </w:rPr>
            </w:pPr>
          </w:p>
        </w:tc>
      </w:tr>
      <w:tr>
        <w:trPr>
          <w:trHeight w:val="205"/>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operating expenses</w:t>
            </w: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8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263,305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222,670</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0" w:type="dxa"/>
            <w:vAlign w:val="bottom"/>
          </w:tcPr>
          <w:p>
            <w:pPr>
              <w:spacing w:after="0"/>
              <w:rPr>
                <w:sz w:val="1"/>
                <w:szCs w:val="1"/>
                <w:color w:val="auto"/>
              </w:rPr>
            </w:pPr>
          </w:p>
        </w:tc>
      </w:tr>
      <w:tr>
        <w:trPr>
          <w:trHeight w:val="35"/>
        </w:trPr>
        <w:tc>
          <w:tcPr>
            <w:tcW w:w="8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17,595</w:t>
            </w:r>
          </w:p>
        </w:tc>
        <w:tc>
          <w:tcPr>
            <w:tcW w:w="0" w:type="dxa"/>
            <w:vAlign w:val="bottom"/>
          </w:tcPr>
          <w:p>
            <w:pPr>
              <w:spacing w:after="0"/>
              <w:rPr>
                <w:sz w:val="1"/>
                <w:szCs w:val="1"/>
                <w:color w:val="auto"/>
              </w:rPr>
            </w:pPr>
          </w:p>
        </w:tc>
      </w:tr>
      <w:tr>
        <w:trPr>
          <w:trHeight w:val="35"/>
        </w:trPr>
        <w:tc>
          <w:tcPr>
            <w:tcW w:w="8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 of intangible assets</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13,416</w:t>
            </w:r>
          </w:p>
        </w:tc>
        <w:tc>
          <w:tcPr>
            <w:tcW w:w="0" w:type="dxa"/>
            <w:vAlign w:val="bottom"/>
          </w:tcPr>
          <w:p>
            <w:pPr>
              <w:spacing w:after="0"/>
              <w:rPr>
                <w:sz w:val="1"/>
                <w:szCs w:val="1"/>
                <w:color w:val="auto"/>
              </w:rPr>
            </w:pPr>
          </w:p>
        </w:tc>
      </w:tr>
      <w:tr>
        <w:trPr>
          <w:trHeight w:val="217"/>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287,630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264,193</w:t>
            </w:r>
          </w:p>
        </w:tc>
        <w:tc>
          <w:tcPr>
            <w:tcW w:w="0" w:type="dxa"/>
            <w:vAlign w:val="bottom"/>
          </w:tcPr>
          <w:p>
            <w:pPr>
              <w:spacing w:after="0"/>
              <w:rPr>
                <w:sz w:val="1"/>
                <w:szCs w:val="1"/>
                <w:color w:val="auto"/>
              </w:rPr>
            </w:pPr>
          </w:p>
        </w:tc>
      </w:tr>
      <w:tr>
        <w:trPr>
          <w:trHeight w:val="35"/>
        </w:trPr>
        <w:tc>
          <w:tcPr>
            <w:tcW w:w="8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35"/>
        </w:trPr>
        <w:tc>
          <w:tcPr>
            <w:tcW w:w="8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0" w:type="dxa"/>
            <w:vAlign w:val="bottom"/>
          </w:tcPr>
          <w:p>
            <w:pPr>
              <w:spacing w:after="0"/>
              <w:rPr>
                <w:sz w:val="1"/>
                <w:szCs w:val="1"/>
                <w:color w:val="auto"/>
              </w:rPr>
            </w:pPr>
          </w:p>
        </w:tc>
      </w:tr>
      <w:tr>
        <w:trPr>
          <w:trHeight w:val="217"/>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other expense, net</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0" w:type="dxa"/>
            <w:vAlign w:val="bottom"/>
          </w:tcPr>
          <w:p>
            <w:pPr>
              <w:spacing w:after="0"/>
              <w:rPr>
                <w:sz w:val="1"/>
                <w:szCs w:val="1"/>
                <w:color w:val="auto"/>
              </w:rPr>
            </w:pPr>
          </w:p>
        </w:tc>
      </w:tr>
      <w:tr>
        <w:trPr>
          <w:trHeight w:val="35"/>
        </w:trPr>
        <w:tc>
          <w:tcPr>
            <w:tcW w:w="80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35"/>
        </w:trPr>
        <w:tc>
          <w:tcPr>
            <w:tcW w:w="80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35"/>
        </w:trPr>
        <w:tc>
          <w:tcPr>
            <w:tcW w:w="80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MediaAlpha, Inc.</w:t>
            </w: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MediaAlpha, Inc. per share of Class A common stock</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8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and diluted</w:t>
            </w: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of Class A common stock outstanding</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8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and diluted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55,846,097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55,632,321</w:t>
            </w:r>
          </w:p>
        </w:tc>
        <w:tc>
          <w:tcPr>
            <w:tcW w:w="0" w:type="dxa"/>
            <w:vAlign w:val="bottom"/>
          </w:tcPr>
          <w:p>
            <w:pPr>
              <w:spacing w:after="0"/>
              <w:rPr>
                <w:sz w:val="1"/>
                <w:szCs w:val="1"/>
                <w:color w:val="auto"/>
              </w:rPr>
            </w:pPr>
          </w:p>
        </w:tc>
      </w:tr>
      <w:tr>
        <w:trPr>
          <w:trHeight w:val="35"/>
        </w:trPr>
        <w:tc>
          <w:tcPr>
            <w:tcW w:w="80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1351" w:right="31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MediaAlpha, Inc. and subsidiaries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(Unaudited; in thousands)</w:t>
      </w:r>
    </w:p>
    <w:p>
      <w:pPr>
        <w:spacing w:after="0" w:line="120"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8"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41910</wp:posOffset>
            </wp:positionV>
            <wp:extent cx="20650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65020" cy="762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1"/>
        </w:trPr>
        <w:tc>
          <w:tcPr>
            <w:tcW w:w="80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97"/>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14,046</w:t>
            </w:r>
          </w:p>
        </w:tc>
        <w:tc>
          <w:tcPr>
            <w:tcW w:w="10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(2,334)</w:t>
            </w:r>
          </w:p>
        </w:tc>
      </w:tr>
      <w:tr>
        <w:trPr>
          <w:trHeight w:val="41"/>
        </w:trPr>
        <w:tc>
          <w:tcPr>
            <w:tcW w:w="8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7"/>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provided by operating activities:</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196"/>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7,024</w:t>
            </w:r>
          </w:p>
        </w:tc>
      </w:tr>
      <w:tr>
        <w:trPr>
          <w:trHeight w:val="41"/>
        </w:trPr>
        <w:tc>
          <w:tcPr>
            <w:tcW w:w="8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7"/>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lease expense</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196"/>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expense on property and equipment</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41"/>
        </w:trPr>
        <w:tc>
          <w:tcPr>
            <w:tcW w:w="8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7"/>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w:t>
            </w:r>
          </w:p>
        </w:tc>
      </w:tr>
      <w:tr>
        <w:trPr>
          <w:trHeight w:val="196"/>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deferred debt issuance costs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41"/>
        </w:trPr>
        <w:tc>
          <w:tcPr>
            <w:tcW w:w="8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7"/>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Write-off of intangible assets</w:t>
            </w:r>
          </w:p>
        </w:tc>
        <w:tc>
          <w:tcPr>
            <w:tcW w:w="9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13,416</w:t>
            </w:r>
          </w:p>
        </w:tc>
      </w:tr>
      <w:tr>
        <w:trPr>
          <w:trHeight w:val="41"/>
        </w:trPr>
        <w:tc>
          <w:tcPr>
            <w:tcW w:w="8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7"/>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Credit losses</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96"/>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taxes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1"/>
        </w:trPr>
        <w:tc>
          <w:tcPr>
            <w:tcW w:w="8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7"/>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receivables agreement</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
        </w:trPr>
        <w:tc>
          <w:tcPr>
            <w:tcW w:w="8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7"/>
        </w:trPr>
        <w:tc>
          <w:tcPr>
            <w:tcW w:w="80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Accounts receivable</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28,181</w:t>
            </w:r>
          </w:p>
        </w:tc>
      </w:tr>
      <w:tr>
        <w:trPr>
          <w:trHeight w:val="196"/>
        </w:trPr>
        <w:tc>
          <w:tcPr>
            <w:tcW w:w="80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41"/>
        </w:trPr>
        <w:tc>
          <w:tcPr>
            <w:tcW w:w="8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7"/>
        </w:trPr>
        <w:tc>
          <w:tcPr>
            <w:tcW w:w="80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Other assets</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96"/>
        </w:trPr>
        <w:tc>
          <w:tcPr>
            <w:tcW w:w="80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(23,209)</w:t>
            </w:r>
          </w:p>
        </w:tc>
      </w:tr>
      <w:tr>
        <w:trPr>
          <w:trHeight w:val="41"/>
        </w:trPr>
        <w:tc>
          <w:tcPr>
            <w:tcW w:w="8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7"/>
        </w:trPr>
        <w:tc>
          <w:tcPr>
            <w:tcW w:w="80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Accrued expenses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r>
      <w:tr>
        <w:trPr>
          <w:trHeight w:val="188"/>
        </w:trPr>
        <w:tc>
          <w:tcPr>
            <w:tcW w:w="80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960" w:type="dxa"/>
            <w:vAlign w:val="bottom"/>
            <w:tcBorders>
              <w:top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tcPr>
          <w:p>
            <w:pPr>
              <w:spacing w:after="0"/>
              <w:rPr>
                <w:sz w:val="16"/>
                <w:szCs w:val="16"/>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23,701</w:t>
            </w:r>
          </w:p>
        </w:tc>
      </w:tr>
      <w:tr>
        <w:trPr>
          <w:trHeight w:val="41"/>
        </w:trPr>
        <w:tc>
          <w:tcPr>
            <w:tcW w:w="80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97"/>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41"/>
        </w:trPr>
        <w:tc>
          <w:tcPr>
            <w:tcW w:w="80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8"/>
        </w:trPr>
        <w:tc>
          <w:tcPr>
            <w:tcW w:w="80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6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76"/>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41"/>
        </w:trPr>
        <w:tc>
          <w:tcPr>
            <w:tcW w:w="8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7"/>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revolving line of credit</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Repayments on revolving line of credit</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1"/>
        </w:trPr>
        <w:tc>
          <w:tcPr>
            <w:tcW w:w="8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7"/>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long-term debt</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Repayments on long-term debt</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w:t>
            </w:r>
          </w:p>
        </w:tc>
      </w:tr>
      <w:tr>
        <w:trPr>
          <w:trHeight w:val="41"/>
        </w:trPr>
        <w:tc>
          <w:tcPr>
            <w:tcW w:w="8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7"/>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Class A common stock</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1"/>
        </w:trPr>
        <w:tc>
          <w:tcPr>
            <w:tcW w:w="8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7"/>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Contributions from QLH’s members</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41"/>
        </w:trPr>
        <w:tc>
          <w:tcPr>
            <w:tcW w:w="8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7"/>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pursuant to tax receivables agreement</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taxes on vesting of restricted stock units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r>
      <w:tr>
        <w:trPr>
          <w:trHeight w:val="41"/>
        </w:trPr>
        <w:tc>
          <w:tcPr>
            <w:tcW w:w="80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8"/>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6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w:t>
            </w:r>
          </w:p>
        </w:tc>
      </w:tr>
      <w:tr>
        <w:trPr>
          <w:trHeight w:val="188"/>
        </w:trPr>
        <w:tc>
          <w:tcPr>
            <w:tcW w:w="80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9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(20,825)</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20,295</w:t>
            </w:r>
          </w:p>
        </w:tc>
      </w:tr>
      <w:tr>
        <w:trPr>
          <w:trHeight w:val="41"/>
        </w:trPr>
        <w:tc>
          <w:tcPr>
            <w:tcW w:w="8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7"/>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43,266</w:t>
            </w:r>
          </w:p>
        </w:tc>
      </w:tr>
      <w:tr>
        <w:trPr>
          <w:trHeight w:val="188"/>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960" w:type="dxa"/>
            <w:vAlign w:val="bottom"/>
            <w:tcBorders>
              <w:top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26,051</w:t>
            </w:r>
          </w:p>
        </w:tc>
        <w:tc>
          <w:tcPr>
            <w:tcW w:w="100" w:type="dxa"/>
            <w:vAlign w:val="bottom"/>
          </w:tcPr>
          <w:p>
            <w:pPr>
              <w:spacing w:after="0"/>
              <w:rPr>
                <w:sz w:val="16"/>
                <w:szCs w:val="16"/>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63,561</w:t>
            </w:r>
          </w:p>
        </w:tc>
      </w:tr>
      <w:tr>
        <w:trPr>
          <w:trHeight w:val="41"/>
        </w:trPr>
        <w:tc>
          <w:tcPr>
            <w:tcW w:w="80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135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Key business and operating metrics and Non-GAAP financial measures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Contribution and Contribution Margin</w:t>
      </w:r>
    </w:p>
    <w:p>
      <w:pPr>
        <w:spacing w:after="0" w:line="116" w:lineRule="exact"/>
        <w:rPr>
          <w:sz w:val="20"/>
          <w:szCs w:val="20"/>
          <w:color w:val="auto"/>
        </w:rPr>
      </w:pPr>
    </w:p>
    <w:p>
      <w:pPr>
        <w:jc w:val="both"/>
        <w:ind w:firstLine="568"/>
        <w:spacing w:after="0" w:line="249" w:lineRule="auto"/>
        <w:rPr>
          <w:sz w:val="20"/>
          <w:szCs w:val="20"/>
          <w:color w:val="auto"/>
        </w:rPr>
      </w:pPr>
      <w:r>
        <w:rPr>
          <w:rFonts w:ascii="Times New Roman" w:cs="Times New Roman" w:eastAsia="Times New Roman" w:hAnsi="Times New Roman"/>
          <w:sz w:val="16"/>
          <w:szCs w:val="16"/>
          <w:color w:val="auto"/>
        </w:rPr>
        <w:t>We define “Contribution” as revenue less revenue share payments and online advertising costs, or, as reported in our consolidated statements of operations, revenue less cost of revenue (i.e., gross profit), as adjusted to exclude the following items from cost of revenue: equity-based compensation; salaries, wages, and related costs; internet and hosting costs; amortization; depreciation; other services; and merchant-related fees. We define “Contribution Margin” as Contribution expressed as a percentage of revenue for the same period. Contribution and Contribution Margin are non-GAAP financial measures that we present to supplement the financial information we present on a GAAP basis. We use Contribution and Contribution Margin to measure the return on our relationships with our Supply Partners (excluding certain fixed costs), the financial return on and efficacy of our online advertising costs to drive consumers to our proprietary websites, and our operating leverage. We do not use Contribution and Contribution Margin as measures of overall profitability. We present Contribution and Contribution Margin because they are used by our management and board of directors to manage our operating performance, including evaluating our operational performance against budget and assessing our overall operating efficiency and operating leverage. For example, if Contribution increases and our headcount costs and other operating expenses remain steady, our Adjusted EBITDA and operating leverage increase. If Contribution Margin decreases, we may choose to re-evaluate and re-negotiate our revenue share agreements with our Supply Partners, to make optimization and pricing changes with respect to our bids for keywords from primary traffic acquisition sources, or to change our overall cost structure with respect to headcount, fixed costs and other costs. Other companies may calculate Contribution and Contribution Margin differently than we do. Contribution and Contribution Margin have their limitations as analytical tools, and you should not consider them in isolation or as substitutes for analysis of our results presented in accordance with GAAP.</w:t>
      </w:r>
    </w:p>
    <w:p>
      <w:pPr>
        <w:spacing w:after="0" w:line="168" w:lineRule="exact"/>
        <w:rPr>
          <w:sz w:val="20"/>
          <w:szCs w:val="20"/>
          <w:color w:val="auto"/>
        </w:rPr>
      </w:pPr>
    </w:p>
    <w:p>
      <w:pPr>
        <w:jc w:val="both"/>
        <w:ind w:right="20" w:firstLine="568"/>
        <w:spacing w:after="0" w:line="276" w:lineRule="auto"/>
        <w:rPr>
          <w:sz w:val="20"/>
          <w:szCs w:val="20"/>
          <w:color w:val="auto"/>
        </w:rPr>
      </w:pPr>
      <w:r>
        <w:rPr>
          <w:rFonts w:ascii="Times New Roman" w:cs="Times New Roman" w:eastAsia="Times New Roman" w:hAnsi="Times New Roman"/>
          <w:sz w:val="16"/>
          <w:szCs w:val="16"/>
          <w:color w:val="auto"/>
        </w:rPr>
        <w:t>The following table reconciles Contribution with gross profit, the most directly comparable financial measure calculated and presented in accordance with GAAP, for the three months ended March 31, 2026 and 2025: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3"/>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7"/>
        </w:trPr>
        <w:tc>
          <w:tcPr>
            <w:tcW w:w="77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00" w:type="dxa"/>
            <w:vAlign w:val="bottom"/>
            <w:tcBorders>
              <w:bottom w:val="single" w:sz="8" w:color="CFF0FC"/>
            </w:tcBorders>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FF0FC"/>
            </w:tcBorders>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310,004</w:t>
            </w: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264,309</w:t>
            </w:r>
          </w:p>
        </w:tc>
        <w:tc>
          <w:tcPr>
            <w:tcW w:w="0" w:type="dxa"/>
            <w:vAlign w:val="bottom"/>
          </w:tcPr>
          <w:p>
            <w:pPr>
              <w:spacing w:after="0"/>
              <w:rPr>
                <w:sz w:val="1"/>
                <w:szCs w:val="1"/>
                <w:color w:val="auto"/>
              </w:rPr>
            </w:pPr>
          </w:p>
        </w:tc>
      </w:tr>
      <w:tr>
        <w:trPr>
          <w:trHeight w:val="214"/>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cost of revenue</w:t>
            </w:r>
          </w:p>
        </w:tc>
        <w:tc>
          <w:tcPr>
            <w:tcW w:w="400" w:type="dxa"/>
            <w:vAlign w:val="bottom"/>
          </w:tcPr>
          <w:p>
            <w:pPr>
              <w:spacing w:after="0"/>
              <w:rPr>
                <w:sz w:val="18"/>
                <w:szCs w:val="18"/>
                <w:color w:val="auto"/>
              </w:rPr>
            </w:pPr>
          </w:p>
        </w:tc>
        <w:tc>
          <w:tcPr>
            <w:tcW w:w="128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(263,305)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(222,670)</w:t>
            </w:r>
          </w:p>
        </w:tc>
        <w:tc>
          <w:tcPr>
            <w:tcW w:w="0" w:type="dxa"/>
            <w:vAlign w:val="bottom"/>
          </w:tcPr>
          <w:p>
            <w:pPr>
              <w:spacing w:after="0"/>
              <w:rPr>
                <w:sz w:val="1"/>
                <w:szCs w:val="1"/>
                <w:color w:val="auto"/>
              </w:rPr>
            </w:pPr>
          </w:p>
        </w:tc>
      </w:tr>
      <w:tr>
        <w:trPr>
          <w:trHeight w:val="23"/>
        </w:trPr>
        <w:tc>
          <w:tcPr>
            <w:tcW w:w="76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77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tcBorders>
              <w:bottom w:val="single" w:sz="8" w:color="CFF0FC"/>
            </w:tcBorders>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FF0FC"/>
            </w:tcBorders>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46,699</w:t>
            </w: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41,639</w:t>
            </w:r>
          </w:p>
        </w:tc>
        <w:tc>
          <w:tcPr>
            <w:tcW w:w="0" w:type="dxa"/>
            <w:vAlign w:val="bottom"/>
          </w:tcPr>
          <w:p>
            <w:pPr>
              <w:spacing w:after="0"/>
              <w:rPr>
                <w:sz w:val="1"/>
                <w:szCs w:val="1"/>
                <w:color w:val="auto"/>
              </w:rPr>
            </w:pPr>
          </w:p>
        </w:tc>
      </w:tr>
      <w:tr>
        <w:trPr>
          <w:trHeight w:val="214"/>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 (as related to cost of revenue):</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4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4"/>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Salaries, wages, and related</w:t>
            </w:r>
          </w:p>
        </w:tc>
        <w:tc>
          <w:tcPr>
            <w:tcW w:w="400" w:type="dxa"/>
            <w:vAlign w:val="bottom"/>
          </w:tcPr>
          <w:p>
            <w:pPr>
              <w:spacing w:after="0"/>
              <w:rPr>
                <w:sz w:val="18"/>
                <w:szCs w:val="18"/>
                <w:color w:val="auto"/>
              </w:rPr>
            </w:pPr>
          </w:p>
        </w:tc>
        <w:tc>
          <w:tcPr>
            <w:tcW w:w="12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816</w:t>
            </w: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Internet and hosting</w:t>
            </w:r>
          </w:p>
        </w:tc>
        <w:tc>
          <w:tcPr>
            <w:tcW w:w="4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4"/>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Other expenses</w:t>
            </w:r>
          </w:p>
        </w:tc>
        <w:tc>
          <w:tcPr>
            <w:tcW w:w="400" w:type="dxa"/>
            <w:vAlign w:val="bottom"/>
          </w:tcPr>
          <w:p>
            <w:pPr>
              <w:spacing w:after="0"/>
              <w:rPr>
                <w:sz w:val="18"/>
                <w:szCs w:val="18"/>
                <w:color w:val="auto"/>
              </w:rPr>
            </w:pPr>
          </w:p>
        </w:tc>
        <w:tc>
          <w:tcPr>
            <w:tcW w:w="12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4"/>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Other services</w:t>
            </w:r>
          </w:p>
        </w:tc>
        <w:tc>
          <w:tcPr>
            <w:tcW w:w="400" w:type="dxa"/>
            <w:vAlign w:val="bottom"/>
          </w:tcPr>
          <w:p>
            <w:pPr>
              <w:spacing w:after="0"/>
              <w:rPr>
                <w:sz w:val="18"/>
                <w:szCs w:val="18"/>
                <w:color w:val="auto"/>
              </w:rPr>
            </w:pPr>
          </w:p>
        </w:tc>
        <w:tc>
          <w:tcPr>
            <w:tcW w:w="12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832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Merchant-related fees</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4"/>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Contribution</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48,664</w:t>
            </w:r>
          </w:p>
        </w:tc>
        <w:tc>
          <w:tcPr>
            <w:tcW w:w="120" w:type="dxa"/>
            <w:vAlign w:val="bottom"/>
          </w:tcPr>
          <w:p>
            <w:pPr>
              <w:spacing w:after="0"/>
              <w:rPr>
                <w:sz w:val="18"/>
                <w:szCs w:val="18"/>
                <w:color w:val="auto"/>
              </w:rPr>
            </w:pPr>
          </w:p>
        </w:tc>
        <w:tc>
          <w:tcPr>
            <w:tcW w:w="640" w:type="dxa"/>
            <w:vAlign w:val="bottom"/>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43,982</w:t>
            </w:r>
          </w:p>
        </w:tc>
        <w:tc>
          <w:tcPr>
            <w:tcW w:w="0" w:type="dxa"/>
            <w:vAlign w:val="bottom"/>
          </w:tcPr>
          <w:p>
            <w:pPr>
              <w:spacing w:after="0"/>
              <w:rPr>
                <w:sz w:val="1"/>
                <w:szCs w:val="1"/>
                <w:color w:val="auto"/>
              </w:rPr>
            </w:pPr>
          </w:p>
        </w:tc>
      </w:tr>
      <w:tr>
        <w:trPr>
          <w:trHeight w:val="23"/>
        </w:trPr>
        <w:tc>
          <w:tcPr>
            <w:tcW w:w="7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margin</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0" w:type="dxa"/>
            <w:vAlign w:val="bottom"/>
          </w:tcPr>
          <w:p>
            <w:pPr>
              <w:spacing w:after="0"/>
              <w:rPr>
                <w:sz w:val="1"/>
                <w:szCs w:val="1"/>
                <w:color w:val="auto"/>
              </w:rPr>
            </w:pPr>
          </w:p>
        </w:tc>
      </w:tr>
      <w:tr>
        <w:trPr>
          <w:trHeight w:val="214"/>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Contribution Margin</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56" w:right="319" w:bottom="1440" w:gutter="0" w:footer="0" w:header="0"/>
        </w:sectPr>
      </w:pPr>
    </w:p>
    <w:bookmarkStart w:id="12" w:name="page13"/>
    <w:bookmarkEnd w:id="12"/>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EBITDA</w:t>
      </w:r>
    </w:p>
    <w:p>
      <w:pPr>
        <w:spacing w:after="0" w:line="104" w:lineRule="exact"/>
        <w:rPr>
          <w:sz w:val="20"/>
          <w:szCs w:val="20"/>
          <w:color w:val="auto"/>
        </w:rPr>
      </w:pPr>
    </w:p>
    <w:p>
      <w:pPr>
        <w:jc w:val="both"/>
        <w:ind w:firstLine="568"/>
        <w:spacing w:after="0" w:line="251" w:lineRule="auto"/>
        <w:rPr>
          <w:sz w:val="20"/>
          <w:szCs w:val="20"/>
          <w:color w:val="auto"/>
        </w:rPr>
      </w:pPr>
      <w:r>
        <w:rPr>
          <w:rFonts w:ascii="Times New Roman" w:cs="Times New Roman" w:eastAsia="Times New Roman" w:hAnsi="Times New Roman"/>
          <w:sz w:val="16"/>
          <w:szCs w:val="16"/>
          <w:color w:val="auto"/>
        </w:rPr>
        <w:t>We define “Adjusted EBITDA” as net income (loss) excluding interest expense, income tax expense (benefit), depreciation expense on property and equipment, amortization of intangible assets, as well as equity-based compensation expense and certain other adjustments as listed in the table below. Adjusted EBITDA is a non-GAAP financial measure that we present to supplement the financial information we present on a GAAP basis. We monitor and present Adjusted EBITDA because it is a key measure used by our management to understand and evaluate our operating performance, to establish budgets and to develop operational goals for managing our business. We believe that Adjusted EBITDA helps identify underlying trends in our business that could otherwise be masked by the effect of the expenses that we exclude in the calculations of Adjusted EBITDA. Accordingly, we believe that Adjusted EBITDA provides useful information to investors and others in understanding and evaluating our operating results, enhancing the overall understanding of our past performance and future prospects. In addition, presenting Adjusted EBITDA provides investors with a metric to evaluate the capital efficiency of our business.</w:t>
      </w:r>
    </w:p>
    <w:p>
      <w:pPr>
        <w:spacing w:after="0" w:line="164" w:lineRule="exact"/>
        <w:rPr>
          <w:sz w:val="20"/>
          <w:szCs w:val="20"/>
          <w:color w:val="auto"/>
        </w:rPr>
      </w:pPr>
    </w:p>
    <w:p>
      <w:pPr>
        <w:jc w:val="both"/>
        <w:ind w:firstLine="568"/>
        <w:spacing w:after="0" w:line="252" w:lineRule="auto"/>
        <w:rPr>
          <w:sz w:val="20"/>
          <w:szCs w:val="20"/>
          <w:color w:val="auto"/>
        </w:rPr>
      </w:pPr>
      <w:r>
        <w:rPr>
          <w:rFonts w:ascii="Times New Roman" w:cs="Times New Roman" w:eastAsia="Times New Roman" w:hAnsi="Times New Roman"/>
          <w:sz w:val="16"/>
          <w:szCs w:val="16"/>
          <w:color w:val="auto"/>
        </w:rPr>
        <w:t>Adjusted EBITDA is not presented in accordance with GAAP and should not be considered in isolation of, or as an alternative to, measures presented in accordance with GAAP. There are a number of limitations related to the use of Adjusted EBITDA rather than net income, which is the most directly comparable financial measure calculated and presented in accordance with GAAP. These limitations include the fact that Adjusted EBITDA excludes interest expense on debt, income tax expense (benefit), equity-based compensation expense, depreciation and amortization, and certain other adjustments that we consider to be useful to investors and others in understanding and evaluating our operating results. In addition, other companies may use other measures to evaluate their performance, including different definitions of “Adjusted EBITDA,” which could reduce the usefulness of our Adjusted EBITDA as a tool for comparison.</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table reconciles Adjusted EBITDA with net income (loss), the most directly comparable financial measure calculated and presented in accordance with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for the three months ended March 31, 2026 and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4"/>
                <w:szCs w:val="14"/>
                <w:color w:val="auto"/>
              </w:rPr>
            </w:pPr>
          </w:p>
        </w:tc>
      </w:tr>
      <w:tr>
        <w:trPr>
          <w:trHeight w:val="186"/>
        </w:trPr>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6"/>
                <w:szCs w:val="16"/>
                <w:color w:val="auto"/>
              </w:rPr>
            </w:pPr>
          </w:p>
        </w:tc>
      </w:tr>
      <w:tr>
        <w:trPr>
          <w:trHeight w:val="29"/>
        </w:trPr>
        <w:tc>
          <w:tcPr>
            <w:tcW w:w="800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7"/>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7"/>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14,046</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w:t>
            </w:r>
          </w:p>
        </w:tc>
      </w:tr>
      <w:tr>
        <w:trPr>
          <w:trHeight w:val="21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7,024</w:t>
            </w:r>
          </w:p>
        </w:tc>
      </w:tr>
      <w:tr>
        <w:trPr>
          <w:trHeight w:val="23"/>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7"/>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w:t>
            </w:r>
          </w:p>
        </w:tc>
      </w:tr>
      <w:tr>
        <w:trPr>
          <w:trHeight w:val="21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3"/>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7"/>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expense on property and equipment</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r>
      <w:tr>
        <w:trPr>
          <w:trHeight w:val="23"/>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Transaction expenses</w:t>
            </w:r>
            <w:r>
              <w:rPr>
                <w:rFonts w:ascii="Times New Roman" w:cs="Times New Roman" w:eastAsia="Times New Roman" w:hAnsi="Times New Roman"/>
                <w:sz w:val="20"/>
                <w:szCs w:val="20"/>
                <w:color w:val="auto"/>
                <w:vertAlign w:val="superscript"/>
              </w:rPr>
              <w:t>(1)</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Write-off of intangible assets</w:t>
            </w:r>
            <w:r>
              <w:rPr>
                <w:rFonts w:ascii="Times New Roman" w:cs="Times New Roman" w:eastAsia="Times New Roman" w:hAnsi="Times New Roman"/>
                <w:sz w:val="20"/>
                <w:szCs w:val="20"/>
                <w:color w:val="auto"/>
                <w:vertAlign w:val="superscript"/>
              </w:rPr>
              <w:t>(2)</w:t>
            </w:r>
          </w:p>
        </w:tc>
        <w:tc>
          <w:tcPr>
            <w:tcW w:w="3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13,416</w:t>
            </w:r>
          </w:p>
        </w:tc>
      </w:tr>
      <w:tr>
        <w:trPr>
          <w:trHeight w:val="237"/>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TRA related liability</w:t>
            </w:r>
            <w:r>
              <w:rPr>
                <w:rFonts w:ascii="Times New Roman" w:cs="Times New Roman" w:eastAsia="Times New Roman" w:hAnsi="Times New Roman"/>
                <w:sz w:val="20"/>
                <w:szCs w:val="20"/>
                <w:color w:val="auto"/>
                <w:vertAlign w:val="superscript"/>
              </w:rPr>
              <w:t>(3)</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Changes in Tax Indemnification Receivable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Legal expenses</w:t>
            </w:r>
            <w:r>
              <w:rPr>
                <w:rFonts w:ascii="Times New Roman" w:cs="Times New Roman" w:eastAsia="Times New Roman" w:hAnsi="Times New Roman"/>
                <w:sz w:val="20"/>
                <w:szCs w:val="20"/>
                <w:color w:val="auto"/>
                <w:vertAlign w:val="superscript"/>
              </w:rPr>
              <w:t>(4)</w:t>
            </w: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6,879</w:t>
            </w:r>
          </w:p>
        </w:tc>
      </w:tr>
      <w:tr>
        <w:trPr>
          <w:trHeight w:val="205"/>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31,360</w:t>
            </w:r>
          </w:p>
        </w:tc>
        <w:tc>
          <w:tcPr>
            <w:tcW w:w="100" w:type="dxa"/>
            <w:vAlign w:val="bottom"/>
          </w:tcPr>
          <w:p>
            <w:pPr>
              <w:spacing w:after="0"/>
              <w:rPr>
                <w:sz w:val="17"/>
                <w:szCs w:val="17"/>
                <w:color w:val="auto"/>
              </w:rPr>
            </w:pPr>
          </w:p>
        </w:tc>
        <w:tc>
          <w:tcPr>
            <w:tcW w:w="62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29,376</w:t>
            </w:r>
          </w:p>
        </w:tc>
      </w:tr>
      <w:tr>
        <w:trPr>
          <w:trHeight w:val="23"/>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420" w:right="420" w:hanging="283"/>
        <w:spacing w:after="0" w:line="265" w:lineRule="auto"/>
        <w:tabs>
          <w:tab w:leader="none" w:pos="413"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Transaction expenses for the three months ended March 31, 2026 consist of legal and other fees of $1.1 million and a loss on extinguishment of $0.2 million incurred by us in connection with the 2026 Credit Facilities.</w:t>
      </w:r>
    </w:p>
    <w:p>
      <w:pPr>
        <w:spacing w:after="0" w:line="1" w:lineRule="exact"/>
        <w:rPr>
          <w:rFonts w:ascii="Times New Roman" w:cs="Times New Roman" w:eastAsia="Times New Roman" w:hAnsi="Times New Roman"/>
          <w:sz w:val="13"/>
          <w:szCs w:val="13"/>
          <w:color w:val="auto"/>
        </w:rPr>
      </w:pPr>
    </w:p>
    <w:p>
      <w:pPr>
        <w:ind w:left="420" w:right="340" w:hanging="283"/>
        <w:spacing w:after="0" w:line="265" w:lineRule="auto"/>
        <w:tabs>
          <w:tab w:leader="none" w:pos="413"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Write-off of intangible assets for the three months ended March 31, 2025 consists of a charge related to the write-off of customer relationships and trademarks, trade names, and domain names intangible assets acquired as part of the acquisition of Customer Helper Team, LLC.</w:t>
      </w:r>
    </w:p>
    <w:p>
      <w:pPr>
        <w:spacing w:after="0" w:line="1" w:lineRule="exact"/>
        <w:rPr>
          <w:rFonts w:ascii="Times New Roman" w:cs="Times New Roman" w:eastAsia="Times New Roman" w:hAnsi="Times New Roman"/>
          <w:sz w:val="13"/>
          <w:szCs w:val="13"/>
          <w:color w:val="auto"/>
        </w:rPr>
      </w:pPr>
    </w:p>
    <w:p>
      <w:pPr>
        <w:ind w:left="420" w:hanging="283"/>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TRA related liability consist of adjustments to the TRA liability to reflect probable future payments under the agreement.</w:t>
      </w:r>
    </w:p>
    <w:p>
      <w:pPr>
        <w:spacing w:after="0" w:line="27" w:lineRule="exact"/>
        <w:rPr>
          <w:rFonts w:ascii="Times New Roman" w:cs="Times New Roman" w:eastAsia="Times New Roman" w:hAnsi="Times New Roman"/>
          <w:sz w:val="13"/>
          <w:szCs w:val="13"/>
          <w:color w:val="auto"/>
        </w:rPr>
      </w:pPr>
    </w:p>
    <w:p>
      <w:pPr>
        <w:ind w:left="420" w:right="360" w:hanging="283"/>
        <w:spacing w:after="0" w:line="289" w:lineRule="auto"/>
        <w:tabs>
          <w:tab w:leader="none" w:pos="413"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Legal expenses for the three months ended March 31, 2026 were immaterial. Legal expenses for the three months ended March 31, 2025, consist of an increase of $5.0 million to the loss reserve established in connection with the FTC Matter and legal fees and costs incurred in connection with such matter.</w:t>
      </w:r>
    </w:p>
    <w:p>
      <w:pPr>
        <w:sectPr>
          <w:pgSz w:w="11900" w:h="16838" w:orient="portrait"/>
          <w:cols w:equalWidth="0" w:num="1">
            <w:col w:w="11260"/>
          </w:cols>
          <w:pgMar w:left="320" w:top="1440" w:right="31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2835910</wp:posOffset>
            </wp:positionH>
            <wp:positionV relativeFrom="page">
              <wp:posOffset>1741170</wp:posOffset>
            </wp:positionV>
            <wp:extent cx="1877695" cy="1036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77695" cy="103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4"/>
          <w:szCs w:val="44"/>
          <w:color w:val="707070"/>
        </w:rPr>
        <w:t>Investor Supplement</w:t>
      </w:r>
    </w:p>
    <w:p>
      <w:pPr>
        <w:sectPr>
          <w:pgSz w:w="11900" w:h="16838" w:orient="portrait"/>
          <w:cols w:equalWidth="0" w:num="1">
            <w:col w:w="9019"/>
          </w:cols>
          <w:pgMar w:left="1440" w:top="1440" w:right="1440" w:bottom="1440" w:gutter="0" w:footer="0" w:header="0"/>
        </w:sectPr>
      </w:pP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535353"/>
        </w:rPr>
        <w:t>Q1 2026</w:t>
      </w:r>
    </w:p>
    <w:p>
      <w:pPr>
        <w:sectPr>
          <w:pgSz w:w="11900" w:h="16838" w:orient="portrait"/>
          <w:cols w:equalWidth="0" w:num="1">
            <w:col w:w="9019"/>
          </w:cols>
          <w:pgMar w:left="1440" w:top="1440" w:right="1440"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38"/>
          <w:szCs w:val="38"/>
          <w:b w:val="1"/>
          <w:bCs w:val="1"/>
          <w:color w:val="535353"/>
        </w:rPr>
        <w:drawing>
          <wp:anchor simplePos="0" relativeHeight="251657728" behindDoc="1" locked="0" layoutInCell="0" allowOverlap="1">
            <wp:simplePos x="0" y="0"/>
            <wp:positionH relativeFrom="page">
              <wp:posOffset>7101205</wp:posOffset>
            </wp:positionH>
            <wp:positionV relativeFrom="page">
              <wp:posOffset>88900</wp:posOffset>
            </wp:positionV>
            <wp:extent cx="247650" cy="210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47650" cy="210185"/>
                    </a:xfrm>
                    <a:prstGeom prst="rect">
                      <a:avLst/>
                    </a:prstGeom>
                    <a:noFill/>
                  </pic:spPr>
                </pic:pic>
              </a:graphicData>
            </a:graphic>
          </wp:anchor>
        </w:drawing>
        <w:t>Investor Supplementary Financial Information</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707070"/>
        </w:rPr>
        <w:t>The accompanying financial information excludes all financial statement disclosures and other information required by generally accepted accounting principles in the United States of America (“GAAP”) and Securities and Exchange Commission (SEC) rules and regulations. However, MediaAlpha, Inc. ("MediaAlpha" or the "Company") has previously filed, or has publicly disclosed and will file, with the SEC, consolidated financial statements for each of the periods presented that were prepared in accordance with GAAP and SEC rules and regulations. The accompanying financial information is derived from the books and records of MediaAlpha that were used to prepare those consolidated financial statements. Accordingly, the accompanying information should be read in conjunction with MediaAlpha's consolidated financial statements and related notes thereto filed with the SEC. We believe that quarter-to-quarter comparisons of results from operations, or any other similar period-to-period comparisons, should not be construed as reliable indicators of our future performance.</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707070"/>
        </w:rPr>
        <w:t>The accompanying financial information includes certain non-GAAP financial measures. Definitions of these non-GAAP financial measures, as well as reconciliations to the corresponding GAAP financial metrics, have been provided on the following pages. We present these supplemental non-GAAP financial measures because they are used extensively by our management and board of directors to manage our operating performance, including evaluating our operational performance against budget and assessing our overall operating efficiency and operating leverage. Accordingly, we believe that these non-GAAP financial measures provide useful information to investors and others in understanding and evaluating our operating results in the same manner as our management team and board of directors.</w:t>
      </w:r>
    </w:p>
    <w:p>
      <w:pPr>
        <w:spacing w:after="0" w:line="16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707070"/>
        </w:rPr>
        <w:t>These non-GAAP measures should not be considered as an alternative to net income, gross profit or any other financial measures so calculated and presented. Other companies (including our competitors) may define these non-GAAP measures differently. These non-GAAP measures may not be indicative of the historical operating results of MediaAlpha or predictive of potential future results. Investors should not consider this supplemental non-GAAP financial information in isolation or as a substitute for analysis of our results as reported in accordance with GAAP.</w:t>
      </w:r>
    </w:p>
    <w:p>
      <w:pPr>
        <w:spacing w:after="0" w:line="1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707070"/>
        </w:rPr>
        <w:t>Effective with the first quarter of 2026, the Company is discontinuing its reporting of and guidance for Transaction Value, a non-GAAP operating metric, in order to simplify our reporting structure. As our scale advantage has become well-established, the Company believes that Revenue, Contribution and Contribution Margin, and Adjusted EBITDA are the most relevant metrics for investors evaluating the Company's performance relative to our peers.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4"/>
          <w:szCs w:val="14"/>
          <w:color w:val="F36D4D"/>
        </w:rPr>
        <w:t>2</w:t>
      </w:r>
    </w:p>
    <w:p>
      <w:pPr>
        <w:sectPr>
          <w:pgSz w:w="11900" w:h="16838" w:orient="portrait"/>
          <w:cols w:equalWidth="0" w:num="1">
            <w:col w:w="11260"/>
          </w:cols>
          <w:pgMar w:left="320" w:top="1006" w:right="319" w:bottom="1440" w:gutter="0" w:footer="0" w:header="0"/>
        </w:sectPr>
      </w:pPr>
    </w:p>
    <w:bookmarkStart w:id="15" w:name="page16"/>
    <w:bookmarkEnd w:id="15"/>
    <w:p>
      <w:pPr>
        <w:jc w:val="center"/>
        <w:ind w:right="-279"/>
        <w:spacing w:after="0"/>
        <w:rPr>
          <w:sz w:val="20"/>
          <w:szCs w:val="20"/>
          <w:color w:val="auto"/>
        </w:rPr>
      </w:pPr>
      <w:r>
        <w:rPr>
          <w:rFonts w:ascii="Times New Roman" w:cs="Times New Roman" w:eastAsia="Times New Roman" w:hAnsi="Times New Roman"/>
          <w:sz w:val="38"/>
          <w:szCs w:val="38"/>
          <w:b w:val="1"/>
          <w:bCs w:val="1"/>
          <w:color w:val="535353"/>
        </w:rPr>
        <w:drawing>
          <wp:anchor simplePos="0" relativeHeight="251657728" behindDoc="1" locked="0" layoutInCell="0" allowOverlap="1">
            <wp:simplePos x="0" y="0"/>
            <wp:positionH relativeFrom="page">
              <wp:posOffset>7101205</wp:posOffset>
            </wp:positionH>
            <wp:positionV relativeFrom="page">
              <wp:posOffset>88900</wp:posOffset>
            </wp:positionV>
            <wp:extent cx="247650" cy="2101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47650" cy="210185"/>
                    </a:xfrm>
                    <a:prstGeom prst="rect">
                      <a:avLst/>
                    </a:prstGeom>
                    <a:noFill/>
                  </pic:spPr>
                </pic:pic>
              </a:graphicData>
            </a:graphic>
          </wp:anchor>
        </w:drawing>
        <w:t>Q1 2026 Consolidated Results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88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808080"/>
              </w:rPr>
              <w:t>Q1</w:t>
            </w:r>
          </w:p>
        </w:tc>
        <w:tc>
          <w:tcPr>
            <w:tcW w:w="1160" w:type="dxa"/>
            <w:vAlign w:val="bottom"/>
          </w:tcPr>
          <w:p>
            <w:pPr>
              <w:spacing w:after="0"/>
              <w:rPr>
                <w:sz w:val="16"/>
                <w:szCs w:val="16"/>
                <w:color w:val="auto"/>
              </w:rPr>
            </w:pPr>
          </w:p>
        </w:tc>
      </w:tr>
      <w:tr>
        <w:trPr>
          <w:trHeight w:val="193"/>
        </w:trPr>
        <w:tc>
          <w:tcPr>
            <w:tcW w:w="4300" w:type="dxa"/>
            <w:vAlign w:val="bottom"/>
            <w:tcBorders>
              <w:bottom w:val="single" w:sz="8" w:color="EE4921"/>
            </w:tcBorders>
          </w:tcPr>
          <w:p>
            <w:pPr>
              <w:ind w:left="20"/>
              <w:spacing w:after="0"/>
              <w:rPr>
                <w:sz w:val="20"/>
                <w:szCs w:val="20"/>
                <w:color w:val="auto"/>
              </w:rPr>
            </w:pPr>
            <w:r>
              <w:rPr>
                <w:rFonts w:ascii="Times New Roman" w:cs="Times New Roman" w:eastAsia="Times New Roman" w:hAnsi="Times New Roman"/>
                <w:sz w:val="14"/>
                <w:szCs w:val="14"/>
                <w:b w:val="1"/>
                <w:bCs w:val="1"/>
                <w:color w:val="535353"/>
              </w:rPr>
              <w:t>(in millions, except percentages)</w:t>
            </w:r>
          </w:p>
        </w:tc>
        <w:tc>
          <w:tcPr>
            <w:tcW w:w="860" w:type="dxa"/>
            <w:vAlign w:val="bottom"/>
            <w:tcBorders>
              <w:bottom w:val="single" w:sz="8" w:color="EE4921"/>
            </w:tcBorders>
            <w:shd w:val="clear" w:color="auto" w:fill="FCDAD3"/>
          </w:tcPr>
          <w:p>
            <w:pPr>
              <w:jc w:val="center"/>
              <w:ind w:left="149"/>
              <w:spacing w:after="0"/>
              <w:rPr>
                <w:sz w:val="20"/>
                <w:szCs w:val="20"/>
                <w:color w:val="auto"/>
              </w:rPr>
            </w:pPr>
            <w:r>
              <w:rPr>
                <w:rFonts w:ascii="Times New Roman" w:cs="Times New Roman" w:eastAsia="Times New Roman" w:hAnsi="Times New Roman"/>
                <w:sz w:val="14"/>
                <w:szCs w:val="14"/>
                <w:b w:val="1"/>
                <w:bCs w:val="1"/>
                <w:color w:val="808080"/>
                <w:w w:val="99"/>
              </w:rPr>
              <w:t>2026</w:t>
            </w:r>
          </w:p>
        </w:tc>
        <w:tc>
          <w:tcPr>
            <w:tcW w:w="1180" w:type="dxa"/>
            <w:vAlign w:val="bottom"/>
            <w:tcBorders>
              <w:bottom w:val="single" w:sz="8" w:color="EE4921"/>
            </w:tcBorders>
            <w:shd w:val="clear" w:color="auto" w:fill="FCDAD3"/>
          </w:tcPr>
          <w:p>
            <w:pPr>
              <w:jc w:val="center"/>
              <w:ind w:left="229"/>
              <w:spacing w:after="0"/>
              <w:rPr>
                <w:sz w:val="20"/>
                <w:szCs w:val="20"/>
                <w:color w:val="auto"/>
              </w:rPr>
            </w:pPr>
            <w:r>
              <w:rPr>
                <w:rFonts w:ascii="Times New Roman" w:cs="Times New Roman" w:eastAsia="Times New Roman" w:hAnsi="Times New Roman"/>
                <w:sz w:val="14"/>
                <w:szCs w:val="14"/>
                <w:b w:val="1"/>
                <w:bCs w:val="1"/>
                <w:color w:val="808080"/>
                <w:w w:val="99"/>
              </w:rPr>
              <w:t>2025</w:t>
            </w:r>
          </w:p>
        </w:tc>
        <w:tc>
          <w:tcPr>
            <w:tcW w:w="1160" w:type="dxa"/>
            <w:vAlign w:val="bottom"/>
            <w:tcBorders>
              <w:bottom w:val="single" w:sz="8" w:color="EE4921"/>
            </w:tcBorders>
            <w:shd w:val="clear" w:color="auto" w:fill="FCDAD3"/>
          </w:tcPr>
          <w:p>
            <w:pPr>
              <w:jc w:val="right"/>
              <w:ind w:right="89"/>
              <w:spacing w:after="0"/>
              <w:rPr>
                <w:sz w:val="20"/>
                <w:szCs w:val="20"/>
                <w:color w:val="auto"/>
              </w:rPr>
            </w:pPr>
            <w:r>
              <w:rPr>
                <w:rFonts w:ascii="Times New Roman" w:cs="Times New Roman" w:eastAsia="Times New Roman" w:hAnsi="Times New Roman"/>
                <w:sz w:val="14"/>
                <w:szCs w:val="14"/>
                <w:b w:val="1"/>
                <w:bCs w:val="1"/>
                <w:color w:val="808080"/>
              </w:rPr>
              <w:t>YoY Change</w:t>
            </w:r>
          </w:p>
        </w:tc>
      </w:tr>
      <w:tr>
        <w:trPr>
          <w:trHeight w:val="390"/>
        </w:trPr>
        <w:tc>
          <w:tcPr>
            <w:tcW w:w="43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F04A22"/>
              </w:rPr>
              <w:t>Revenue</w:t>
            </w:r>
          </w:p>
        </w:tc>
        <w:tc>
          <w:tcPr>
            <w:tcW w:w="86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F04A22"/>
                <w:w w:val="98"/>
              </w:rPr>
              <w:t>$310.0</w:t>
            </w:r>
          </w:p>
        </w:tc>
        <w:tc>
          <w:tcPr>
            <w:tcW w:w="118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F04A22"/>
              </w:rPr>
              <w:t>$264.3</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808080"/>
              </w:rPr>
              <w:t>17%</w:t>
            </w:r>
          </w:p>
        </w:tc>
      </w:tr>
      <w:tr>
        <w:trPr>
          <w:trHeight w:val="195"/>
        </w:trPr>
        <w:tc>
          <w:tcPr>
            <w:tcW w:w="4300" w:type="dxa"/>
            <w:vAlign w:val="bottom"/>
            <w:tcBorders>
              <w:bottom w:val="single" w:sz="8" w:color="EE4921"/>
            </w:tcBorders>
          </w:tcPr>
          <w:p>
            <w:pPr>
              <w:spacing w:after="0"/>
              <w:rPr>
                <w:sz w:val="16"/>
                <w:szCs w:val="16"/>
                <w:color w:val="auto"/>
              </w:rPr>
            </w:pPr>
          </w:p>
        </w:tc>
        <w:tc>
          <w:tcPr>
            <w:tcW w:w="860" w:type="dxa"/>
            <w:vAlign w:val="bottom"/>
            <w:tcBorders>
              <w:bottom w:val="single" w:sz="8" w:color="EE4921"/>
            </w:tcBorders>
          </w:tcPr>
          <w:p>
            <w:pPr>
              <w:spacing w:after="0"/>
              <w:rPr>
                <w:sz w:val="16"/>
                <w:szCs w:val="16"/>
                <w:color w:val="auto"/>
              </w:rPr>
            </w:pPr>
          </w:p>
        </w:tc>
        <w:tc>
          <w:tcPr>
            <w:tcW w:w="1180" w:type="dxa"/>
            <w:vAlign w:val="bottom"/>
            <w:tcBorders>
              <w:bottom w:val="single" w:sz="8" w:color="EE4921"/>
            </w:tcBorders>
          </w:tcPr>
          <w:p>
            <w:pPr>
              <w:spacing w:after="0"/>
              <w:rPr>
                <w:sz w:val="16"/>
                <w:szCs w:val="16"/>
                <w:color w:val="auto"/>
              </w:rPr>
            </w:pPr>
          </w:p>
        </w:tc>
        <w:tc>
          <w:tcPr>
            <w:tcW w:w="1160" w:type="dxa"/>
            <w:vAlign w:val="bottom"/>
            <w:tcBorders>
              <w:bottom w:val="single" w:sz="8" w:color="EE4921"/>
            </w:tcBorders>
          </w:tcPr>
          <w:p>
            <w:pPr>
              <w:spacing w:after="0"/>
              <w:rPr>
                <w:sz w:val="16"/>
                <w:szCs w:val="16"/>
                <w:color w:val="auto"/>
              </w:rPr>
            </w:pPr>
          </w:p>
        </w:tc>
      </w:tr>
      <w:tr>
        <w:trPr>
          <w:trHeight w:val="365"/>
        </w:trPr>
        <w:tc>
          <w:tcPr>
            <w:tcW w:w="43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F04A22"/>
              </w:rPr>
              <w:t>Gross Profit</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F04A22"/>
              </w:rPr>
              <w:t>$46.7</w:t>
            </w:r>
          </w:p>
        </w:tc>
        <w:tc>
          <w:tcPr>
            <w:tcW w:w="118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F04A22"/>
              </w:rPr>
              <w:t>$41.6</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808080"/>
              </w:rPr>
              <w:t>12%</w:t>
            </w:r>
          </w:p>
        </w:tc>
      </w:tr>
      <w:tr>
        <w:trPr>
          <w:trHeight w:val="263"/>
        </w:trPr>
        <w:tc>
          <w:tcPr>
            <w:tcW w:w="43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F04A22"/>
              </w:rPr>
              <w:t xml:space="preserve">Contribution </w:t>
            </w:r>
            <w:r>
              <w:rPr>
                <w:rFonts w:ascii="Times New Roman" w:cs="Times New Roman" w:eastAsia="Times New Roman" w:hAnsi="Times New Roman"/>
                <w:sz w:val="18"/>
                <w:szCs w:val="18"/>
                <w:b w:val="1"/>
                <w:bCs w:val="1"/>
                <w:color w:val="F04A22"/>
                <w:vertAlign w:val="superscript"/>
              </w:rPr>
              <w:t>1</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F04A22"/>
              </w:rPr>
              <w:t>$48.7</w:t>
            </w:r>
          </w:p>
        </w:tc>
        <w:tc>
          <w:tcPr>
            <w:tcW w:w="118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F04A22"/>
              </w:rPr>
              <w:t>$44.0</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808080"/>
              </w:rPr>
              <w:t>11%</w:t>
            </w:r>
          </w:p>
        </w:tc>
      </w:tr>
      <w:tr>
        <w:trPr>
          <w:trHeight w:val="144"/>
        </w:trPr>
        <w:tc>
          <w:tcPr>
            <w:tcW w:w="4300" w:type="dxa"/>
            <w:vAlign w:val="bottom"/>
            <w:tcBorders>
              <w:bottom w:val="single" w:sz="8" w:color="EE4921"/>
            </w:tcBorders>
          </w:tcPr>
          <w:p>
            <w:pPr>
              <w:spacing w:after="0"/>
              <w:rPr>
                <w:sz w:val="12"/>
                <w:szCs w:val="12"/>
                <w:color w:val="auto"/>
              </w:rPr>
            </w:pPr>
          </w:p>
        </w:tc>
        <w:tc>
          <w:tcPr>
            <w:tcW w:w="860" w:type="dxa"/>
            <w:vAlign w:val="bottom"/>
            <w:tcBorders>
              <w:bottom w:val="single" w:sz="8" w:color="EE4921"/>
            </w:tcBorders>
          </w:tcPr>
          <w:p>
            <w:pPr>
              <w:spacing w:after="0"/>
              <w:rPr>
                <w:sz w:val="12"/>
                <w:szCs w:val="12"/>
                <w:color w:val="auto"/>
              </w:rPr>
            </w:pPr>
          </w:p>
        </w:tc>
        <w:tc>
          <w:tcPr>
            <w:tcW w:w="1180" w:type="dxa"/>
            <w:vAlign w:val="bottom"/>
            <w:tcBorders>
              <w:bottom w:val="single" w:sz="8" w:color="EE4921"/>
            </w:tcBorders>
          </w:tcPr>
          <w:p>
            <w:pPr>
              <w:spacing w:after="0"/>
              <w:rPr>
                <w:sz w:val="12"/>
                <w:szCs w:val="12"/>
                <w:color w:val="auto"/>
              </w:rPr>
            </w:pPr>
          </w:p>
        </w:tc>
        <w:tc>
          <w:tcPr>
            <w:tcW w:w="1160" w:type="dxa"/>
            <w:vAlign w:val="bottom"/>
            <w:tcBorders>
              <w:bottom w:val="single" w:sz="8" w:color="EE4921"/>
            </w:tcBorders>
          </w:tcPr>
          <w:p>
            <w:pPr>
              <w:spacing w:after="0"/>
              <w:rPr>
                <w:sz w:val="12"/>
                <w:szCs w:val="12"/>
                <w:color w:val="auto"/>
              </w:rPr>
            </w:pPr>
          </w:p>
        </w:tc>
      </w:tr>
      <w:tr>
        <w:trPr>
          <w:trHeight w:val="365"/>
        </w:trPr>
        <w:tc>
          <w:tcPr>
            <w:tcW w:w="43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F04A22"/>
              </w:rPr>
              <w:t>Net Income (Loss)</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F04A22"/>
              </w:rPr>
              <w:t>$14.0</w:t>
            </w:r>
          </w:p>
        </w:tc>
        <w:tc>
          <w:tcPr>
            <w:tcW w:w="118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F04A22"/>
              </w:rPr>
              <w:t>$(2.3)</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808080"/>
              </w:rPr>
              <w:t>n/m</w:t>
            </w:r>
          </w:p>
        </w:tc>
      </w:tr>
      <w:tr>
        <w:trPr>
          <w:trHeight w:val="263"/>
        </w:trPr>
        <w:tc>
          <w:tcPr>
            <w:tcW w:w="43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F04A22"/>
              </w:rPr>
              <w:t xml:space="preserve">Adjusted EBITDA </w:t>
            </w:r>
            <w:r>
              <w:rPr>
                <w:rFonts w:ascii="Times New Roman" w:cs="Times New Roman" w:eastAsia="Times New Roman" w:hAnsi="Times New Roman"/>
                <w:sz w:val="18"/>
                <w:szCs w:val="18"/>
                <w:b w:val="1"/>
                <w:bCs w:val="1"/>
                <w:color w:val="F04A22"/>
                <w:vertAlign w:val="superscript"/>
              </w:rPr>
              <w:t>1</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F04A22"/>
              </w:rPr>
              <w:t>$31.4</w:t>
            </w:r>
          </w:p>
        </w:tc>
        <w:tc>
          <w:tcPr>
            <w:tcW w:w="118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F04A22"/>
              </w:rPr>
              <w:t>$29.4</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808080"/>
              </w:rPr>
              <w:t>7%</w:t>
            </w:r>
          </w:p>
        </w:tc>
      </w:tr>
    </w:tbl>
    <w:p>
      <w:pPr>
        <w:ind w:left="1940"/>
        <w:spacing w:after="0"/>
        <w:rPr>
          <w:sz w:val="20"/>
          <w:szCs w:val="20"/>
          <w:color w:val="auto"/>
        </w:rPr>
      </w:pPr>
      <w:r>
        <w:rPr>
          <w:rFonts w:ascii="Times New Roman" w:cs="Times New Roman" w:eastAsia="Times New Roman" w:hAnsi="Times New Roman"/>
          <w:sz w:val="14"/>
          <w:szCs w:val="14"/>
          <w:i w:val="1"/>
          <w:iCs w:val="1"/>
          <w:color w:val="808080"/>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707070"/>
        </w:rPr>
        <w:t>1. See “Key Business Metrics and Non-GAAP Financial Measures” for additional information regarding non-GAAP metrics and operating metrics used in this supplement.</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F36D4D"/>
        </w:rPr>
        <w:t>3</w:t>
      </w:r>
    </w:p>
    <w:p>
      <w:pPr>
        <w:sectPr>
          <w:pgSz w:w="11900" w:h="16838" w:orient="portrait"/>
          <w:cols w:equalWidth="0" w:num="1">
            <w:col w:w="10960"/>
          </w:cols>
          <w:pgMar w:left="320" w:top="1006" w:right="619" w:bottom="1440" w:gutter="0" w:footer="0" w:header="0"/>
        </w:sectPr>
      </w:pPr>
    </w:p>
    <w:bookmarkStart w:id="16" w:name="page17"/>
    <w:bookmarkEnd w:id="16"/>
    <w:p>
      <w:pPr>
        <w:ind w:left="2880"/>
        <w:spacing w:after="0"/>
        <w:rPr>
          <w:sz w:val="20"/>
          <w:szCs w:val="20"/>
          <w:color w:val="auto"/>
        </w:rPr>
      </w:pPr>
      <w:r>
        <w:rPr>
          <w:rFonts w:ascii="Times New Roman" w:cs="Times New Roman" w:eastAsia="Times New Roman" w:hAnsi="Times New Roman"/>
          <w:sz w:val="38"/>
          <w:szCs w:val="38"/>
          <w:b w:val="1"/>
          <w:bCs w:val="1"/>
          <w:color w:val="535353"/>
        </w:rPr>
        <w:drawing>
          <wp:anchor simplePos="0" relativeHeight="251657728" behindDoc="1" locked="0" layoutInCell="0" allowOverlap="1">
            <wp:simplePos x="0" y="0"/>
            <wp:positionH relativeFrom="page">
              <wp:posOffset>7101205</wp:posOffset>
            </wp:positionH>
            <wp:positionV relativeFrom="page">
              <wp:posOffset>88900</wp:posOffset>
            </wp:positionV>
            <wp:extent cx="247650" cy="2101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47650" cy="210185"/>
                    </a:xfrm>
                    <a:prstGeom prst="rect">
                      <a:avLst/>
                    </a:prstGeom>
                    <a:noFill/>
                  </pic:spPr>
                </pic:pic>
              </a:graphicData>
            </a:graphic>
          </wp:anchor>
        </w:drawing>
        <w:t>Revenue by Vertical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344170</wp:posOffset>
            </wp:positionV>
            <wp:extent cx="4686300" cy="2057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863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F36D4D"/>
        </w:rPr>
        <w:t>4</w:t>
      </w:r>
    </w:p>
    <w:p>
      <w:pPr>
        <w:sectPr>
          <w:pgSz w:w="11900" w:h="16838" w:orient="portrait"/>
          <w:cols w:equalWidth="0" w:num="1">
            <w:col w:w="9840"/>
          </w:cols>
          <w:pgMar w:left="1440" w:top="1006" w:right="619" w:bottom="1440" w:gutter="0" w:footer="0" w:header="0"/>
        </w:sectPr>
      </w:pPr>
    </w:p>
    <w:bookmarkStart w:id="17" w:name="page18"/>
    <w:bookmarkEnd w:id="17"/>
    <w:p>
      <w:pPr>
        <w:ind w:left="2525"/>
        <w:spacing w:after="0"/>
        <w:rPr>
          <w:sz w:val="20"/>
          <w:szCs w:val="20"/>
          <w:color w:val="auto"/>
        </w:rPr>
      </w:pPr>
      <w:r>
        <w:rPr>
          <w:rFonts w:ascii="Times New Roman" w:cs="Times New Roman" w:eastAsia="Times New Roman" w:hAnsi="Times New Roman"/>
          <w:sz w:val="38"/>
          <w:szCs w:val="38"/>
          <w:b w:val="1"/>
          <w:bCs w:val="1"/>
          <w:color w:val="535353"/>
        </w:rPr>
        <w:drawing>
          <wp:anchor simplePos="0" relativeHeight="251657728" behindDoc="1" locked="0" layoutInCell="0" allowOverlap="1">
            <wp:simplePos x="0" y="0"/>
            <wp:positionH relativeFrom="page">
              <wp:posOffset>7101205</wp:posOffset>
            </wp:positionH>
            <wp:positionV relativeFrom="page">
              <wp:posOffset>88900</wp:posOffset>
            </wp:positionV>
            <wp:extent cx="247650" cy="2101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47650" cy="210185"/>
                    </a:xfrm>
                    <a:prstGeom prst="rect">
                      <a:avLst/>
                    </a:prstGeom>
                    <a:noFill/>
                  </pic:spPr>
                </pic:pic>
              </a:graphicData>
            </a:graphic>
          </wp:anchor>
        </w:drawing>
        <w:t>Contribution</w:t>
      </w:r>
      <w:r>
        <w:rPr>
          <w:rFonts w:ascii="Times New Roman" w:cs="Times New Roman" w:eastAsia="Times New Roman" w:hAnsi="Times New Roman"/>
          <w:sz w:val="49"/>
          <w:szCs w:val="49"/>
          <w:b w:val="1"/>
          <w:bCs w:val="1"/>
          <w:color w:val="535353"/>
          <w:vertAlign w:val="superscript"/>
        </w:rPr>
        <w:t>1</w:t>
      </w:r>
      <w:r>
        <w:rPr>
          <w:rFonts w:ascii="Times New Roman" w:cs="Times New Roman" w:eastAsia="Times New Roman" w:hAnsi="Times New Roman"/>
          <w:sz w:val="38"/>
          <w:szCs w:val="38"/>
          <w:b w:val="1"/>
          <w:bCs w:val="1"/>
          <w:color w:val="535353"/>
        </w:rPr>
        <w:t xml:space="preserve"> &amp; Contribution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68580</wp:posOffset>
            </wp:positionV>
            <wp:extent cx="5046345" cy="1652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46345" cy="165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5" w:hanging="145"/>
        <w:spacing w:after="0"/>
        <w:tabs>
          <w:tab w:leader="none" w:pos="145" w:val="left"/>
        </w:tabs>
        <w:numPr>
          <w:ilvl w:val="0"/>
          <w:numId w:val="5"/>
        </w:numPr>
        <w:rPr>
          <w:rFonts w:ascii="Times New Roman" w:cs="Times New Roman" w:eastAsia="Times New Roman" w:hAnsi="Times New Roman"/>
          <w:sz w:val="20"/>
          <w:szCs w:val="20"/>
          <w:b w:val="1"/>
          <w:bCs w:val="1"/>
          <w:color w:val="707070"/>
          <w:vertAlign w:val="superscript"/>
        </w:rPr>
      </w:pPr>
      <w:r>
        <w:rPr>
          <w:rFonts w:ascii="Times New Roman" w:cs="Times New Roman" w:eastAsia="Times New Roman" w:hAnsi="Times New Roman"/>
          <w:sz w:val="16"/>
          <w:szCs w:val="16"/>
          <w:color w:val="707070"/>
        </w:rPr>
        <w:t xml:space="preserve">See page </w:t>
      </w:r>
      <w:r>
        <w:rPr>
          <w:rFonts w:ascii="Times New Roman" w:cs="Times New Roman" w:eastAsia="Times New Roman" w:hAnsi="Times New Roman"/>
          <w:sz w:val="16"/>
          <w:szCs w:val="16"/>
          <w:u w:val="single" w:color="auto"/>
          <w:color w:val="707070"/>
        </w:rPr>
        <w:t>12</w:t>
      </w:r>
      <w:r>
        <w:rPr>
          <w:rFonts w:ascii="Times New Roman" w:cs="Times New Roman" w:eastAsia="Times New Roman" w:hAnsi="Times New Roman"/>
          <w:sz w:val="16"/>
          <w:szCs w:val="16"/>
          <w:color w:val="707070"/>
        </w:rPr>
        <w:t xml:space="preserve"> of this supplement for additional information regarding Contribution, a non-GAAP financial measure.</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F36D4D"/>
        </w:rPr>
        <w:t>5</w:t>
      </w:r>
    </w:p>
    <w:p>
      <w:pPr>
        <w:sectPr>
          <w:pgSz w:w="11900" w:h="16838" w:orient="portrait"/>
          <w:cols w:equalWidth="0" w:num="1">
            <w:col w:w="10965"/>
          </w:cols>
          <w:pgMar w:left="315" w:top="1006" w:right="619" w:bottom="1440" w:gutter="0" w:footer="0" w:header="0"/>
        </w:sectPr>
      </w:pPr>
    </w:p>
    <w:bookmarkStart w:id="18" w:name="page19"/>
    <w:bookmarkEnd w:id="18"/>
    <w:p>
      <w:pPr>
        <w:ind w:left="865"/>
        <w:spacing w:after="0"/>
        <w:rPr>
          <w:sz w:val="20"/>
          <w:szCs w:val="20"/>
          <w:color w:val="auto"/>
        </w:rPr>
      </w:pPr>
      <w:r>
        <w:rPr>
          <w:rFonts w:ascii="Times New Roman" w:cs="Times New Roman" w:eastAsia="Times New Roman" w:hAnsi="Times New Roman"/>
          <w:sz w:val="38"/>
          <w:szCs w:val="38"/>
          <w:b w:val="1"/>
          <w:bCs w:val="1"/>
          <w:color w:val="535353"/>
        </w:rPr>
        <w:drawing>
          <wp:anchor simplePos="0" relativeHeight="251657728" behindDoc="1" locked="0" layoutInCell="0" allowOverlap="1">
            <wp:simplePos x="0" y="0"/>
            <wp:positionH relativeFrom="page">
              <wp:posOffset>7101205</wp:posOffset>
            </wp:positionH>
            <wp:positionV relativeFrom="page">
              <wp:posOffset>88900</wp:posOffset>
            </wp:positionV>
            <wp:extent cx="247650" cy="210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47650" cy="210185"/>
                    </a:xfrm>
                    <a:prstGeom prst="rect">
                      <a:avLst/>
                    </a:prstGeom>
                    <a:noFill/>
                  </pic:spPr>
                </pic:pic>
              </a:graphicData>
            </a:graphic>
          </wp:anchor>
        </w:drawing>
        <w:t>Adjusted EBITDA</w:t>
      </w:r>
      <w:r>
        <w:rPr>
          <w:rFonts w:ascii="Times New Roman" w:cs="Times New Roman" w:eastAsia="Times New Roman" w:hAnsi="Times New Roman"/>
          <w:sz w:val="49"/>
          <w:szCs w:val="49"/>
          <w:b w:val="1"/>
          <w:bCs w:val="1"/>
          <w:color w:val="535353"/>
          <w:vertAlign w:val="superscript"/>
        </w:rPr>
        <w:t>1</w:t>
      </w:r>
      <w:r>
        <w:rPr>
          <w:rFonts w:ascii="Times New Roman" w:cs="Times New Roman" w:eastAsia="Times New Roman" w:hAnsi="Times New Roman"/>
          <w:sz w:val="38"/>
          <w:szCs w:val="38"/>
          <w:b w:val="1"/>
          <w:bCs w:val="1"/>
          <w:color w:val="535353"/>
        </w:rPr>
        <w:t xml:space="preserve"> &amp; Margin and as a % of Contribution</w:t>
      </w:r>
      <w:r>
        <w:rPr>
          <w:rFonts w:ascii="Times New Roman" w:cs="Times New Roman" w:eastAsia="Times New Roman" w:hAnsi="Times New Roman"/>
          <w:sz w:val="49"/>
          <w:szCs w:val="49"/>
          <w:b w:val="1"/>
          <w:bCs w:val="1"/>
          <w:color w:val="535353"/>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1021080</wp:posOffset>
            </wp:positionH>
            <wp:positionV relativeFrom="paragraph">
              <wp:posOffset>323850</wp:posOffset>
            </wp:positionV>
            <wp:extent cx="5106670" cy="1757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06670"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5" w:hanging="85"/>
        <w:spacing w:after="0"/>
        <w:tabs>
          <w:tab w:leader="none" w:pos="85" w:val="left"/>
        </w:tabs>
        <w:numPr>
          <w:ilvl w:val="0"/>
          <w:numId w:val="6"/>
        </w:numPr>
        <w:rPr>
          <w:rFonts w:ascii="Times New Roman" w:cs="Times New Roman" w:eastAsia="Times New Roman" w:hAnsi="Times New Roman"/>
          <w:sz w:val="20"/>
          <w:szCs w:val="20"/>
          <w:color w:val="707070"/>
          <w:vertAlign w:val="superscript"/>
        </w:rPr>
      </w:pPr>
      <w:r>
        <w:rPr>
          <w:rFonts w:ascii="Times New Roman" w:cs="Times New Roman" w:eastAsia="Times New Roman" w:hAnsi="Times New Roman"/>
          <w:sz w:val="16"/>
          <w:szCs w:val="16"/>
          <w:color w:val="707070"/>
        </w:rPr>
        <w:t xml:space="preserve">See page </w:t>
      </w:r>
      <w:r>
        <w:rPr>
          <w:rFonts w:ascii="Times New Roman" w:cs="Times New Roman" w:eastAsia="Times New Roman" w:hAnsi="Times New Roman"/>
          <w:sz w:val="16"/>
          <w:szCs w:val="16"/>
          <w:u w:val="single" w:color="auto"/>
          <w:color w:val="707070"/>
        </w:rPr>
        <w:t>13</w:t>
      </w:r>
      <w:r>
        <w:rPr>
          <w:rFonts w:ascii="Times New Roman" w:cs="Times New Roman" w:eastAsia="Times New Roman" w:hAnsi="Times New Roman"/>
          <w:sz w:val="16"/>
          <w:szCs w:val="16"/>
          <w:color w:val="707070"/>
        </w:rPr>
        <w:t xml:space="preserve"> of this supplement for additional information regarding Adjusted EBITDA, a non-GAAP financial measure.</w:t>
      </w:r>
    </w:p>
    <w:p>
      <w:pPr>
        <w:ind w:left="5"/>
        <w:spacing w:after="0"/>
        <w:rPr>
          <w:rFonts w:ascii="Times New Roman" w:cs="Times New Roman" w:eastAsia="Times New Roman" w:hAnsi="Times New Roman"/>
          <w:sz w:val="20"/>
          <w:szCs w:val="20"/>
          <w:color w:val="707070"/>
          <w:vertAlign w:val="superscript"/>
        </w:rPr>
      </w:pPr>
      <w:r>
        <w:rPr>
          <w:rFonts w:ascii="Times New Roman" w:cs="Times New Roman" w:eastAsia="Times New Roman" w:hAnsi="Times New Roman"/>
          <w:sz w:val="20"/>
          <w:szCs w:val="20"/>
          <w:color w:val="707070"/>
          <w:vertAlign w:val="superscript"/>
        </w:rPr>
        <w:t>2</w:t>
      </w:r>
      <w:r>
        <w:rPr>
          <w:rFonts w:ascii="Times New Roman" w:cs="Times New Roman" w:eastAsia="Times New Roman" w:hAnsi="Times New Roman"/>
          <w:sz w:val="16"/>
          <w:szCs w:val="16"/>
          <w:color w:val="707070"/>
        </w:rPr>
        <w:t xml:space="preserve"> See page </w:t>
      </w:r>
      <w:r>
        <w:rPr>
          <w:rFonts w:ascii="Times New Roman" w:cs="Times New Roman" w:eastAsia="Times New Roman" w:hAnsi="Times New Roman"/>
          <w:sz w:val="16"/>
          <w:szCs w:val="16"/>
          <w:u w:val="single" w:color="auto"/>
          <w:color w:val="707070"/>
        </w:rPr>
        <w:t>12</w:t>
      </w:r>
      <w:r>
        <w:rPr>
          <w:rFonts w:ascii="Times New Roman" w:cs="Times New Roman" w:eastAsia="Times New Roman" w:hAnsi="Times New Roman"/>
          <w:sz w:val="16"/>
          <w:szCs w:val="16"/>
          <w:color w:val="707070"/>
        </w:rPr>
        <w:t xml:space="preserve"> of this supplement for additional information regarding Contribution, a non-GAAP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F36D4D"/>
        </w:rPr>
        <w:t>6</w:t>
      </w:r>
    </w:p>
    <w:p>
      <w:pPr>
        <w:sectPr>
          <w:pgSz w:w="11900" w:h="16838" w:orient="portrait"/>
          <w:cols w:equalWidth="0" w:num="1">
            <w:col w:w="10965"/>
          </w:cols>
          <w:pgMar w:left="315" w:top="1006" w:right="619" w:bottom="1440" w:gutter="0" w:footer="0" w:header="0"/>
        </w:sectPr>
      </w:pPr>
    </w:p>
    <w:bookmarkStart w:id="19" w:name="page20"/>
    <w:bookmarkEnd w:id="19"/>
    <w:p>
      <w:pPr>
        <w:ind w:left="2565"/>
        <w:spacing w:after="0"/>
        <w:rPr>
          <w:sz w:val="20"/>
          <w:szCs w:val="20"/>
          <w:color w:val="auto"/>
        </w:rPr>
      </w:pPr>
      <w:r>
        <w:rPr>
          <w:rFonts w:ascii="Times New Roman" w:cs="Times New Roman" w:eastAsia="Times New Roman" w:hAnsi="Times New Roman"/>
          <w:sz w:val="38"/>
          <w:szCs w:val="38"/>
          <w:b w:val="1"/>
          <w:bCs w:val="1"/>
          <w:color w:val="535353"/>
        </w:rPr>
        <w:drawing>
          <wp:anchor simplePos="0" relativeHeight="251657728" behindDoc="1" locked="0" layoutInCell="0" allowOverlap="1">
            <wp:simplePos x="0" y="0"/>
            <wp:positionH relativeFrom="page">
              <wp:posOffset>7101205</wp:posOffset>
            </wp:positionH>
            <wp:positionV relativeFrom="page">
              <wp:posOffset>88900</wp:posOffset>
            </wp:positionV>
            <wp:extent cx="247650" cy="2101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47650" cy="210185"/>
                    </a:xfrm>
                    <a:prstGeom prst="rect">
                      <a:avLst/>
                    </a:prstGeom>
                    <a:noFill/>
                  </pic:spPr>
                </pic:pic>
              </a:graphicData>
            </a:graphic>
          </wp:anchor>
        </w:drawing>
        <w:t>Share Repurchase Program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204075" cy="3244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3244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5" w:hanging="85"/>
        <w:spacing w:after="0"/>
        <w:tabs>
          <w:tab w:leader="none" w:pos="85" w:val="left"/>
        </w:tabs>
        <w:numPr>
          <w:ilvl w:val="0"/>
          <w:numId w:val="7"/>
        </w:numPr>
        <w:rPr>
          <w:rFonts w:ascii="Times New Roman" w:cs="Times New Roman" w:eastAsia="Times New Roman" w:hAnsi="Times New Roman"/>
          <w:sz w:val="20"/>
          <w:szCs w:val="20"/>
          <w:color w:val="707070"/>
          <w:vertAlign w:val="superscript"/>
        </w:rPr>
      </w:pPr>
      <w:r>
        <w:rPr>
          <w:rFonts w:ascii="Times New Roman" w:cs="Times New Roman" w:eastAsia="Times New Roman" w:hAnsi="Times New Roman"/>
          <w:sz w:val="16"/>
          <w:szCs w:val="16"/>
          <w:color w:val="707070"/>
        </w:rPr>
        <w:t>Represents shares repurchased as a percentage of the 67.9 million shares outstanding as of July 31, 2025.</w:t>
      </w:r>
    </w:p>
    <w:p>
      <w:pPr>
        <w:ind w:left="85" w:hanging="85"/>
        <w:spacing w:after="0" w:line="207" w:lineRule="auto"/>
        <w:tabs>
          <w:tab w:leader="none" w:pos="85" w:val="left"/>
        </w:tabs>
        <w:numPr>
          <w:ilvl w:val="0"/>
          <w:numId w:val="8"/>
        </w:numPr>
        <w:rPr>
          <w:rFonts w:ascii="Times New Roman" w:cs="Times New Roman" w:eastAsia="Times New Roman" w:hAnsi="Times New Roman"/>
          <w:sz w:val="20"/>
          <w:szCs w:val="20"/>
          <w:color w:val="707070"/>
          <w:vertAlign w:val="superscript"/>
        </w:rPr>
      </w:pPr>
      <w:r>
        <w:rPr>
          <w:rFonts w:ascii="Times New Roman" w:cs="Times New Roman" w:eastAsia="Times New Roman" w:hAnsi="Times New Roman"/>
          <w:sz w:val="16"/>
          <w:szCs w:val="16"/>
          <w:color w:val="707070"/>
        </w:rPr>
        <w:t>Average price derived as consideration paid, excluding any commission, divided by the number of shares repurchased.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F36D4D"/>
        </w:rPr>
        <w:t>7</w:t>
      </w:r>
    </w:p>
    <w:p>
      <w:pPr>
        <w:sectPr>
          <w:pgSz w:w="11900" w:h="16838" w:orient="portrait"/>
          <w:cols w:equalWidth="0" w:num="1">
            <w:col w:w="10965"/>
          </w:cols>
          <w:pgMar w:left="315" w:top="1006" w:right="619" w:bottom="1440" w:gutter="0" w:footer="0" w:header="0"/>
        </w:sectPr>
      </w:pPr>
    </w:p>
    <w:bookmarkStart w:id="20" w:name="page21"/>
    <w:bookmarkEnd w:id="20"/>
    <w:p>
      <w:pPr>
        <w:jc w:val="center"/>
        <w:ind w:right="-284"/>
        <w:spacing w:after="0"/>
        <w:rPr>
          <w:sz w:val="20"/>
          <w:szCs w:val="20"/>
          <w:color w:val="auto"/>
        </w:rPr>
      </w:pPr>
      <w:r>
        <w:rPr>
          <w:rFonts w:ascii="Times New Roman" w:cs="Times New Roman" w:eastAsia="Times New Roman" w:hAnsi="Times New Roman"/>
          <w:sz w:val="38"/>
          <w:szCs w:val="38"/>
          <w:b w:val="1"/>
          <w:bCs w:val="1"/>
          <w:color w:val="535353"/>
        </w:rPr>
        <w:drawing>
          <wp:anchor simplePos="0" relativeHeight="251657728" behindDoc="1" locked="0" layoutInCell="0" allowOverlap="1">
            <wp:simplePos x="0" y="0"/>
            <wp:positionH relativeFrom="page">
              <wp:posOffset>7101205</wp:posOffset>
            </wp:positionH>
            <wp:positionV relativeFrom="page">
              <wp:posOffset>88900</wp:posOffset>
            </wp:positionV>
            <wp:extent cx="247650" cy="2101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47650" cy="210185"/>
                    </a:xfrm>
                    <a:prstGeom prst="rect">
                      <a:avLst/>
                    </a:prstGeom>
                    <a:noFill/>
                  </pic:spPr>
                </pic:pic>
              </a:graphicData>
            </a:graphic>
          </wp:anchor>
        </w:drawing>
        <w:t>Q2 2026 Financial Outlook</w:t>
      </w:r>
    </w:p>
    <w:p>
      <w:pPr>
        <w:spacing w:after="0" w:line="279" w:lineRule="exact"/>
        <w:rPr>
          <w:sz w:val="20"/>
          <w:szCs w:val="20"/>
          <w:color w:val="auto"/>
        </w:rPr>
      </w:pPr>
    </w:p>
    <w:tbl>
      <w:tblPr>
        <w:tblLayout w:type="fixed"/>
        <w:tblInd w:w="1085"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920" w:type="dxa"/>
            <w:vAlign w:val="bottom"/>
          </w:tcPr>
          <w:p>
            <w:pPr>
              <w:jc w:val="center"/>
              <w:ind w:left="349"/>
              <w:spacing w:after="0"/>
              <w:rPr>
                <w:sz w:val="20"/>
                <w:szCs w:val="20"/>
                <w:color w:val="auto"/>
              </w:rPr>
            </w:pPr>
            <w:r>
              <w:rPr>
                <w:rFonts w:ascii="Times New Roman" w:cs="Times New Roman" w:eastAsia="Times New Roman" w:hAnsi="Times New Roman"/>
                <w:sz w:val="14"/>
                <w:szCs w:val="14"/>
                <w:b w:val="1"/>
                <w:bCs w:val="1"/>
                <w:color w:val="808080"/>
              </w:rPr>
              <w:t>Q2 2025</w:t>
            </w: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808080"/>
              </w:rPr>
              <w:t>Q2 2026 Guidance</w:t>
            </w:r>
          </w:p>
        </w:tc>
        <w:tc>
          <w:tcPr>
            <w:tcW w:w="1140" w:type="dxa"/>
            <w:vAlign w:val="bottom"/>
          </w:tcPr>
          <w:p>
            <w:pPr>
              <w:spacing w:after="0"/>
              <w:rPr>
                <w:sz w:val="16"/>
                <w:szCs w:val="16"/>
                <w:color w:val="auto"/>
              </w:rPr>
            </w:pPr>
          </w:p>
        </w:tc>
      </w:tr>
      <w:tr>
        <w:trPr>
          <w:trHeight w:val="193"/>
        </w:trPr>
        <w:tc>
          <w:tcPr>
            <w:tcW w:w="352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b w:val="1"/>
                <w:bCs w:val="1"/>
                <w:color w:val="535353"/>
              </w:rPr>
              <w:t>($ in millions, % year-over-year growth)</w:t>
            </w:r>
          </w:p>
        </w:tc>
        <w:tc>
          <w:tcPr>
            <w:tcW w:w="920" w:type="dxa"/>
            <w:vAlign w:val="bottom"/>
            <w:tcBorders>
              <w:bottom w:val="single" w:sz="8" w:color="EE4921"/>
            </w:tcBorders>
            <w:shd w:val="clear" w:color="auto" w:fill="FCDAD3"/>
          </w:tcPr>
          <w:p>
            <w:pPr>
              <w:jc w:val="center"/>
              <w:ind w:left="329"/>
              <w:spacing w:after="0"/>
              <w:rPr>
                <w:sz w:val="20"/>
                <w:szCs w:val="20"/>
                <w:color w:val="auto"/>
              </w:rPr>
            </w:pPr>
            <w:r>
              <w:rPr>
                <w:rFonts w:ascii="Times New Roman" w:cs="Times New Roman" w:eastAsia="Times New Roman" w:hAnsi="Times New Roman"/>
                <w:sz w:val="14"/>
                <w:szCs w:val="14"/>
                <w:b w:val="1"/>
                <w:bCs w:val="1"/>
                <w:color w:val="808080"/>
              </w:rPr>
              <w:t>Actual</w:t>
            </w:r>
          </w:p>
        </w:tc>
        <w:tc>
          <w:tcPr>
            <w:tcW w:w="420" w:type="dxa"/>
            <w:vAlign w:val="bottom"/>
            <w:tcBorders>
              <w:bottom w:val="single" w:sz="8" w:color="EE4921"/>
              <w:right w:val="single" w:sz="8" w:color="FCDAD3"/>
            </w:tcBorders>
            <w:shd w:val="clear" w:color="auto" w:fill="FCDAD3"/>
          </w:tcPr>
          <w:p>
            <w:pPr>
              <w:spacing w:after="0"/>
              <w:rPr>
                <w:sz w:val="16"/>
                <w:szCs w:val="16"/>
                <w:color w:val="auto"/>
              </w:rPr>
            </w:pPr>
          </w:p>
        </w:tc>
        <w:tc>
          <w:tcPr>
            <w:tcW w:w="1460" w:type="dxa"/>
            <w:vAlign w:val="bottom"/>
            <w:tcBorders>
              <w:bottom w:val="single" w:sz="8" w:color="EE4921"/>
            </w:tcBorders>
            <w:shd w:val="clear" w:color="auto" w:fill="FCDAD3"/>
          </w:tcPr>
          <w:p>
            <w:pPr>
              <w:jc w:val="right"/>
              <w:ind w:right="569"/>
              <w:spacing w:after="0"/>
              <w:rPr>
                <w:sz w:val="20"/>
                <w:szCs w:val="20"/>
                <w:color w:val="auto"/>
              </w:rPr>
            </w:pPr>
            <w:r>
              <w:rPr>
                <w:rFonts w:ascii="Times New Roman" w:cs="Times New Roman" w:eastAsia="Times New Roman" w:hAnsi="Times New Roman"/>
                <w:sz w:val="14"/>
                <w:szCs w:val="14"/>
                <w:b w:val="1"/>
                <w:bCs w:val="1"/>
                <w:color w:val="808080"/>
              </w:rPr>
              <w:t>Low</w:t>
            </w:r>
          </w:p>
        </w:tc>
        <w:tc>
          <w:tcPr>
            <w:tcW w:w="1640" w:type="dxa"/>
            <w:vAlign w:val="bottom"/>
            <w:tcBorders>
              <w:bottom w:val="single" w:sz="8" w:color="EE4921"/>
            </w:tcBorders>
            <w:shd w:val="clear" w:color="auto" w:fill="FCDAD3"/>
          </w:tcPr>
          <w:p>
            <w:pPr>
              <w:jc w:val="right"/>
              <w:ind w:right="789"/>
              <w:spacing w:after="0"/>
              <w:rPr>
                <w:sz w:val="20"/>
                <w:szCs w:val="20"/>
                <w:color w:val="auto"/>
              </w:rPr>
            </w:pPr>
            <w:r>
              <w:rPr>
                <w:rFonts w:ascii="Times New Roman" w:cs="Times New Roman" w:eastAsia="Times New Roman" w:hAnsi="Times New Roman"/>
                <w:sz w:val="14"/>
                <w:szCs w:val="14"/>
                <w:b w:val="1"/>
                <w:bCs w:val="1"/>
                <w:color w:val="808080"/>
              </w:rPr>
              <w:t>Mid</w:t>
            </w:r>
          </w:p>
        </w:tc>
        <w:tc>
          <w:tcPr>
            <w:tcW w:w="1140" w:type="dxa"/>
            <w:vAlign w:val="bottom"/>
            <w:tcBorders>
              <w:bottom w:val="single" w:sz="8" w:color="EE4921"/>
            </w:tcBorders>
            <w:shd w:val="clear" w:color="auto" w:fill="FCDAD3"/>
          </w:tcPr>
          <w:p>
            <w:pPr>
              <w:jc w:val="right"/>
              <w:ind w:right="489"/>
              <w:spacing w:after="0"/>
              <w:rPr>
                <w:sz w:val="20"/>
                <w:szCs w:val="20"/>
                <w:color w:val="auto"/>
              </w:rPr>
            </w:pPr>
            <w:r>
              <w:rPr>
                <w:rFonts w:ascii="Times New Roman" w:cs="Times New Roman" w:eastAsia="Times New Roman" w:hAnsi="Times New Roman"/>
                <w:sz w:val="14"/>
                <w:szCs w:val="14"/>
                <w:b w:val="1"/>
                <w:bCs w:val="1"/>
                <w:color w:val="808080"/>
              </w:rPr>
              <w:t>High</w:t>
            </w:r>
          </w:p>
        </w:tc>
      </w:tr>
      <w:tr>
        <w:trPr>
          <w:trHeight w:val="402"/>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F04A22"/>
              </w:rPr>
              <w:t>Revenue</w:t>
            </w:r>
          </w:p>
        </w:tc>
        <w:tc>
          <w:tcPr>
            <w:tcW w:w="920" w:type="dxa"/>
            <w:vAlign w:val="bottom"/>
          </w:tcPr>
          <w:p>
            <w:pPr>
              <w:spacing w:after="0"/>
              <w:rPr>
                <w:sz w:val="24"/>
                <w:szCs w:val="24"/>
                <w:color w:val="auto"/>
              </w:rPr>
            </w:pP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F04A22"/>
                <w:w w:val="93"/>
              </w:rPr>
              <w:t>$251.6</w:t>
            </w: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F04A22"/>
              </w:rPr>
              <w:t>$290.0</w:t>
            </w:r>
          </w:p>
        </w:tc>
        <w:tc>
          <w:tcPr>
            <w:tcW w:w="16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F04A22"/>
              </w:rPr>
              <w:t>$300.0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F04A22"/>
              </w:rPr>
              <w:t>$310.0</w:t>
            </w:r>
          </w:p>
        </w:tc>
      </w:tr>
      <w:tr>
        <w:trPr>
          <w:trHeight w:val="189"/>
        </w:trPr>
        <w:tc>
          <w:tcPr>
            <w:tcW w:w="3520" w:type="dxa"/>
            <w:vAlign w:val="bottom"/>
          </w:tcPr>
          <w:p>
            <w:pPr>
              <w:spacing w:after="0"/>
              <w:rPr>
                <w:sz w:val="20"/>
                <w:szCs w:val="20"/>
                <w:color w:val="auto"/>
              </w:rPr>
            </w:pPr>
            <w:r>
              <w:rPr>
                <w:rFonts w:ascii="Times New Roman" w:cs="Times New Roman" w:eastAsia="Times New Roman" w:hAnsi="Times New Roman"/>
                <w:sz w:val="14"/>
                <w:szCs w:val="14"/>
                <w:i w:val="1"/>
                <w:iCs w:val="1"/>
                <w:color w:val="808080"/>
              </w:rPr>
              <w:t>% growth</w:t>
            </w:r>
          </w:p>
        </w:tc>
        <w:tc>
          <w:tcPr>
            <w:tcW w:w="9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i w:val="1"/>
                <w:iCs w:val="1"/>
                <w:color w:val="808080"/>
              </w:rPr>
              <w:t>15 %</w:t>
            </w:r>
          </w:p>
        </w:tc>
        <w:tc>
          <w:tcPr>
            <w:tcW w:w="1640" w:type="dxa"/>
            <w:vAlign w:val="bottom"/>
          </w:tcPr>
          <w:p>
            <w:pPr>
              <w:jc w:val="right"/>
              <w:ind w:right="229"/>
              <w:spacing w:after="0"/>
              <w:rPr>
                <w:sz w:val="20"/>
                <w:szCs w:val="20"/>
                <w:color w:val="auto"/>
              </w:rPr>
            </w:pPr>
            <w:r>
              <w:rPr>
                <w:rFonts w:ascii="Times New Roman" w:cs="Times New Roman" w:eastAsia="Times New Roman" w:hAnsi="Times New Roman"/>
                <w:sz w:val="14"/>
                <w:szCs w:val="14"/>
                <w:i w:val="1"/>
                <w:iCs w:val="1"/>
                <w:color w:val="808080"/>
              </w:rPr>
              <w:t>19 %</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808080"/>
              </w:rPr>
              <w:t>23 %</w:t>
            </w:r>
          </w:p>
        </w:tc>
      </w:tr>
      <w:tr>
        <w:trPr>
          <w:trHeight w:val="429"/>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F04A22"/>
              </w:rPr>
              <w:t>Contribution</w:t>
            </w:r>
            <w:r>
              <w:rPr>
                <w:rFonts w:ascii="Times New Roman" w:cs="Times New Roman" w:eastAsia="Times New Roman" w:hAnsi="Times New Roman"/>
                <w:sz w:val="18"/>
                <w:szCs w:val="18"/>
                <w:b w:val="1"/>
                <w:bCs w:val="1"/>
                <w:color w:val="F04A22"/>
                <w:vertAlign w:val="superscript"/>
              </w:rPr>
              <w:t>1</w:t>
            </w:r>
          </w:p>
        </w:tc>
        <w:tc>
          <w:tcPr>
            <w:tcW w:w="920" w:type="dxa"/>
            <w:vAlign w:val="bottom"/>
          </w:tcPr>
          <w:p>
            <w:pPr>
              <w:spacing w:after="0"/>
              <w:rPr>
                <w:sz w:val="24"/>
                <w:szCs w:val="24"/>
                <w:color w:val="auto"/>
              </w:rPr>
            </w:pP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F04A22"/>
              </w:rPr>
              <w:t>$39.8</w:t>
            </w: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F04A22"/>
              </w:rPr>
              <w:t>$45.5</w:t>
            </w:r>
          </w:p>
        </w:tc>
        <w:tc>
          <w:tcPr>
            <w:tcW w:w="16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F04A22"/>
              </w:rPr>
              <w:t>$47.0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F04A22"/>
              </w:rPr>
              <w:t>$48.5</w:t>
            </w:r>
          </w:p>
        </w:tc>
      </w:tr>
      <w:tr>
        <w:trPr>
          <w:trHeight w:val="186"/>
        </w:trPr>
        <w:tc>
          <w:tcPr>
            <w:tcW w:w="3520" w:type="dxa"/>
            <w:vAlign w:val="bottom"/>
          </w:tcPr>
          <w:p>
            <w:pPr>
              <w:spacing w:after="0"/>
              <w:rPr>
                <w:sz w:val="20"/>
                <w:szCs w:val="20"/>
                <w:color w:val="auto"/>
              </w:rPr>
            </w:pPr>
            <w:r>
              <w:rPr>
                <w:rFonts w:ascii="Times New Roman" w:cs="Times New Roman" w:eastAsia="Times New Roman" w:hAnsi="Times New Roman"/>
                <w:sz w:val="14"/>
                <w:szCs w:val="14"/>
                <w:i w:val="1"/>
                <w:iCs w:val="1"/>
                <w:color w:val="808080"/>
              </w:rPr>
              <w:t>% growth</w:t>
            </w:r>
          </w:p>
        </w:tc>
        <w:tc>
          <w:tcPr>
            <w:tcW w:w="9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i w:val="1"/>
                <w:iCs w:val="1"/>
                <w:color w:val="808080"/>
              </w:rPr>
              <w:t>14 %</w:t>
            </w:r>
          </w:p>
        </w:tc>
        <w:tc>
          <w:tcPr>
            <w:tcW w:w="1640" w:type="dxa"/>
            <w:vAlign w:val="bottom"/>
          </w:tcPr>
          <w:p>
            <w:pPr>
              <w:jc w:val="right"/>
              <w:ind w:right="229"/>
              <w:spacing w:after="0"/>
              <w:rPr>
                <w:sz w:val="20"/>
                <w:szCs w:val="20"/>
                <w:color w:val="auto"/>
              </w:rPr>
            </w:pPr>
            <w:r>
              <w:rPr>
                <w:rFonts w:ascii="Times New Roman" w:cs="Times New Roman" w:eastAsia="Times New Roman" w:hAnsi="Times New Roman"/>
                <w:sz w:val="14"/>
                <w:szCs w:val="14"/>
                <w:i w:val="1"/>
                <w:iCs w:val="1"/>
                <w:color w:val="808080"/>
              </w:rPr>
              <w:t>18 %</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808080"/>
              </w:rPr>
              <w:t>22 %</w:t>
            </w:r>
          </w:p>
        </w:tc>
      </w:tr>
      <w:tr>
        <w:trPr>
          <w:trHeight w:val="429"/>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F04A22"/>
              </w:rPr>
              <w:t>Adj. EBITDA</w:t>
            </w:r>
            <w:r>
              <w:rPr>
                <w:rFonts w:ascii="Times New Roman" w:cs="Times New Roman" w:eastAsia="Times New Roman" w:hAnsi="Times New Roman"/>
                <w:sz w:val="18"/>
                <w:szCs w:val="18"/>
                <w:b w:val="1"/>
                <w:bCs w:val="1"/>
                <w:color w:val="F04A22"/>
                <w:vertAlign w:val="superscript"/>
              </w:rPr>
              <w:t>2</w:t>
            </w:r>
          </w:p>
        </w:tc>
        <w:tc>
          <w:tcPr>
            <w:tcW w:w="920" w:type="dxa"/>
            <w:vAlign w:val="bottom"/>
          </w:tcPr>
          <w:p>
            <w:pPr>
              <w:spacing w:after="0"/>
              <w:rPr>
                <w:sz w:val="24"/>
                <w:szCs w:val="24"/>
                <w:color w:val="auto"/>
              </w:rPr>
            </w:pP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F04A22"/>
              </w:rPr>
              <w:t>$24.5</w:t>
            </w: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F04A22"/>
              </w:rPr>
              <w:t>$28.0</w:t>
            </w:r>
          </w:p>
        </w:tc>
        <w:tc>
          <w:tcPr>
            <w:tcW w:w="16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F04A22"/>
              </w:rPr>
              <w:t>$29.3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F04A22"/>
              </w:rPr>
              <w:t>$30.5</w:t>
            </w:r>
          </w:p>
        </w:tc>
      </w:tr>
      <w:tr>
        <w:trPr>
          <w:trHeight w:val="186"/>
        </w:trPr>
        <w:tc>
          <w:tcPr>
            <w:tcW w:w="3520" w:type="dxa"/>
            <w:vAlign w:val="bottom"/>
          </w:tcPr>
          <w:p>
            <w:pPr>
              <w:spacing w:after="0"/>
              <w:rPr>
                <w:sz w:val="20"/>
                <w:szCs w:val="20"/>
                <w:color w:val="auto"/>
              </w:rPr>
            </w:pPr>
            <w:r>
              <w:rPr>
                <w:rFonts w:ascii="Times New Roman" w:cs="Times New Roman" w:eastAsia="Times New Roman" w:hAnsi="Times New Roman"/>
                <w:sz w:val="14"/>
                <w:szCs w:val="14"/>
                <w:i w:val="1"/>
                <w:iCs w:val="1"/>
                <w:color w:val="808080"/>
              </w:rPr>
              <w:t>% growth</w:t>
            </w:r>
          </w:p>
        </w:tc>
        <w:tc>
          <w:tcPr>
            <w:tcW w:w="9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i w:val="1"/>
                <w:iCs w:val="1"/>
                <w:color w:val="808080"/>
              </w:rPr>
              <w:t>14 %</w:t>
            </w:r>
          </w:p>
        </w:tc>
        <w:tc>
          <w:tcPr>
            <w:tcW w:w="1640" w:type="dxa"/>
            <w:vAlign w:val="bottom"/>
          </w:tcPr>
          <w:p>
            <w:pPr>
              <w:jc w:val="right"/>
              <w:ind w:right="229"/>
              <w:spacing w:after="0"/>
              <w:rPr>
                <w:sz w:val="20"/>
                <w:szCs w:val="20"/>
                <w:color w:val="auto"/>
              </w:rPr>
            </w:pPr>
            <w:r>
              <w:rPr>
                <w:rFonts w:ascii="Times New Roman" w:cs="Times New Roman" w:eastAsia="Times New Roman" w:hAnsi="Times New Roman"/>
                <w:sz w:val="14"/>
                <w:szCs w:val="14"/>
                <w:i w:val="1"/>
                <w:iCs w:val="1"/>
                <w:color w:val="808080"/>
              </w:rPr>
              <w:t>19 %</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808080"/>
              </w:rPr>
              <w:t>24 %</w:t>
            </w:r>
          </w:p>
        </w:tc>
      </w:tr>
      <w:tr>
        <w:trPr>
          <w:trHeight w:val="426"/>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F04A22"/>
              </w:rPr>
              <w:t>Under 65 Contribution</w:t>
            </w:r>
          </w:p>
        </w:tc>
        <w:tc>
          <w:tcPr>
            <w:tcW w:w="920" w:type="dxa"/>
            <w:vAlign w:val="bottom"/>
          </w:tcPr>
          <w:p>
            <w:pPr>
              <w:spacing w:after="0"/>
              <w:rPr>
                <w:sz w:val="24"/>
                <w:szCs w:val="24"/>
                <w:color w:val="auto"/>
              </w:rPr>
            </w:pP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F04A22"/>
              </w:rPr>
              <w:t>$2.4</w:t>
            </w: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F04A22"/>
              </w:rPr>
              <w:t>$0.2</w:t>
            </w:r>
          </w:p>
        </w:tc>
        <w:tc>
          <w:tcPr>
            <w:tcW w:w="16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F04A22"/>
              </w:rPr>
              <w:t>$0.3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F04A22"/>
              </w:rPr>
              <w:t>$0.4</w:t>
            </w:r>
          </w:p>
        </w:tc>
      </w:tr>
      <w:tr>
        <w:trPr>
          <w:trHeight w:val="426"/>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F04A22"/>
              </w:rPr>
              <w:t>Contribution excl. Under 65 Contribution</w:t>
            </w:r>
          </w:p>
        </w:tc>
        <w:tc>
          <w:tcPr>
            <w:tcW w:w="920" w:type="dxa"/>
            <w:vAlign w:val="bottom"/>
          </w:tcPr>
          <w:p>
            <w:pPr>
              <w:spacing w:after="0"/>
              <w:rPr>
                <w:sz w:val="24"/>
                <w:szCs w:val="24"/>
                <w:color w:val="auto"/>
              </w:rPr>
            </w:pP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F04A22"/>
              </w:rPr>
              <w:t>$37.5</w:t>
            </w: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F04A22"/>
              </w:rPr>
              <w:t>$45.3</w:t>
            </w:r>
          </w:p>
        </w:tc>
        <w:tc>
          <w:tcPr>
            <w:tcW w:w="16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F04A22"/>
              </w:rPr>
              <w:t>$46.7</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F04A22"/>
              </w:rPr>
              <w:t>$48.1</w:t>
            </w:r>
          </w:p>
        </w:tc>
      </w:tr>
      <w:tr>
        <w:trPr>
          <w:trHeight w:val="189"/>
        </w:trPr>
        <w:tc>
          <w:tcPr>
            <w:tcW w:w="3520" w:type="dxa"/>
            <w:vAlign w:val="bottom"/>
          </w:tcPr>
          <w:p>
            <w:pPr>
              <w:spacing w:after="0"/>
              <w:rPr>
                <w:sz w:val="20"/>
                <w:szCs w:val="20"/>
                <w:color w:val="auto"/>
              </w:rPr>
            </w:pPr>
            <w:r>
              <w:rPr>
                <w:rFonts w:ascii="Times New Roman" w:cs="Times New Roman" w:eastAsia="Times New Roman" w:hAnsi="Times New Roman"/>
                <w:sz w:val="14"/>
                <w:szCs w:val="14"/>
                <w:i w:val="1"/>
                <w:iCs w:val="1"/>
                <w:color w:val="808080"/>
              </w:rPr>
              <w:t>% growth</w:t>
            </w:r>
          </w:p>
        </w:tc>
        <w:tc>
          <w:tcPr>
            <w:tcW w:w="9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i w:val="1"/>
                <w:iCs w:val="1"/>
                <w:color w:val="808080"/>
              </w:rPr>
              <w:t>21 %</w:t>
            </w:r>
          </w:p>
        </w:tc>
        <w:tc>
          <w:tcPr>
            <w:tcW w:w="1640" w:type="dxa"/>
            <w:vAlign w:val="bottom"/>
          </w:tcPr>
          <w:p>
            <w:pPr>
              <w:jc w:val="right"/>
              <w:ind w:right="229"/>
              <w:spacing w:after="0"/>
              <w:rPr>
                <w:sz w:val="20"/>
                <w:szCs w:val="20"/>
                <w:color w:val="auto"/>
              </w:rPr>
            </w:pPr>
            <w:r>
              <w:rPr>
                <w:rFonts w:ascii="Times New Roman" w:cs="Times New Roman" w:eastAsia="Times New Roman" w:hAnsi="Times New Roman"/>
                <w:sz w:val="14"/>
                <w:szCs w:val="14"/>
                <w:i w:val="1"/>
                <w:iCs w:val="1"/>
                <w:color w:val="808080"/>
              </w:rPr>
              <w:t>25 %</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808080"/>
              </w:rPr>
              <w:t>28 %</w:t>
            </w:r>
          </w:p>
        </w:tc>
      </w:tr>
      <w:tr>
        <w:trPr>
          <w:trHeight w:val="426"/>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F04A22"/>
              </w:rPr>
              <w:t>Adj. EBITDA excl. Under 65 Contribution</w:t>
            </w:r>
          </w:p>
        </w:tc>
        <w:tc>
          <w:tcPr>
            <w:tcW w:w="920" w:type="dxa"/>
            <w:vAlign w:val="bottom"/>
          </w:tcPr>
          <w:p>
            <w:pPr>
              <w:spacing w:after="0"/>
              <w:rPr>
                <w:sz w:val="24"/>
                <w:szCs w:val="24"/>
                <w:color w:val="auto"/>
              </w:rPr>
            </w:pP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F04A22"/>
              </w:rPr>
              <w:t>$22.1</w:t>
            </w: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F04A22"/>
              </w:rPr>
              <w:t>$27.8</w:t>
            </w:r>
          </w:p>
        </w:tc>
        <w:tc>
          <w:tcPr>
            <w:tcW w:w="16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F04A22"/>
              </w:rPr>
              <w:t>$29.0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F04A22"/>
              </w:rPr>
              <w:t>$30.1</w:t>
            </w:r>
          </w:p>
        </w:tc>
      </w:tr>
      <w:tr>
        <w:trPr>
          <w:trHeight w:val="195"/>
        </w:trPr>
        <w:tc>
          <w:tcPr>
            <w:tcW w:w="3520" w:type="dxa"/>
            <w:vAlign w:val="bottom"/>
          </w:tcPr>
          <w:p>
            <w:pPr>
              <w:spacing w:after="0"/>
              <w:rPr>
                <w:sz w:val="20"/>
                <w:szCs w:val="20"/>
                <w:color w:val="auto"/>
              </w:rPr>
            </w:pPr>
            <w:r>
              <w:rPr>
                <w:rFonts w:ascii="Times New Roman" w:cs="Times New Roman" w:eastAsia="Times New Roman" w:hAnsi="Times New Roman"/>
                <w:sz w:val="14"/>
                <w:szCs w:val="14"/>
                <w:i w:val="1"/>
                <w:iCs w:val="1"/>
                <w:color w:val="808080"/>
              </w:rPr>
              <w:t>% growth</w:t>
            </w:r>
          </w:p>
        </w:tc>
        <w:tc>
          <w:tcPr>
            <w:tcW w:w="9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i w:val="1"/>
                <w:iCs w:val="1"/>
                <w:color w:val="808080"/>
              </w:rPr>
              <w:t>26 %</w:t>
            </w:r>
          </w:p>
        </w:tc>
        <w:tc>
          <w:tcPr>
            <w:tcW w:w="1640" w:type="dxa"/>
            <w:vAlign w:val="bottom"/>
          </w:tcPr>
          <w:p>
            <w:pPr>
              <w:jc w:val="right"/>
              <w:ind w:right="229"/>
              <w:spacing w:after="0"/>
              <w:rPr>
                <w:sz w:val="20"/>
                <w:szCs w:val="20"/>
                <w:color w:val="auto"/>
              </w:rPr>
            </w:pPr>
            <w:r>
              <w:rPr>
                <w:rFonts w:ascii="Times New Roman" w:cs="Times New Roman" w:eastAsia="Times New Roman" w:hAnsi="Times New Roman"/>
                <w:sz w:val="14"/>
                <w:szCs w:val="14"/>
                <w:i w:val="1"/>
                <w:iCs w:val="1"/>
                <w:color w:val="808080"/>
              </w:rPr>
              <w:t>31 %</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808080"/>
              </w:rPr>
              <w:t>36 %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5" w:hanging="85"/>
        <w:spacing w:after="0"/>
        <w:tabs>
          <w:tab w:leader="none" w:pos="85" w:val="left"/>
        </w:tabs>
        <w:numPr>
          <w:ilvl w:val="0"/>
          <w:numId w:val="9"/>
        </w:numPr>
        <w:rPr>
          <w:rFonts w:ascii="Times New Roman" w:cs="Times New Roman" w:eastAsia="Times New Roman" w:hAnsi="Times New Roman"/>
          <w:sz w:val="20"/>
          <w:szCs w:val="20"/>
          <w:color w:val="707070"/>
          <w:vertAlign w:val="superscript"/>
        </w:rPr>
      </w:pPr>
      <w:r>
        <w:rPr>
          <w:rFonts w:ascii="Times New Roman" w:cs="Times New Roman" w:eastAsia="Times New Roman" w:hAnsi="Times New Roman"/>
          <w:sz w:val="16"/>
          <w:szCs w:val="16"/>
          <w:color w:val="707070"/>
        </w:rPr>
        <w:t xml:space="preserve">See page </w:t>
      </w:r>
      <w:r>
        <w:rPr>
          <w:rFonts w:ascii="Times New Roman" w:cs="Times New Roman" w:eastAsia="Times New Roman" w:hAnsi="Times New Roman"/>
          <w:sz w:val="16"/>
          <w:szCs w:val="16"/>
          <w:u w:val="single" w:color="auto"/>
          <w:color w:val="707070"/>
        </w:rPr>
        <w:t>12</w:t>
      </w:r>
      <w:r>
        <w:rPr>
          <w:rFonts w:ascii="Times New Roman" w:cs="Times New Roman" w:eastAsia="Times New Roman" w:hAnsi="Times New Roman"/>
          <w:sz w:val="16"/>
          <w:szCs w:val="16"/>
          <w:color w:val="707070"/>
        </w:rPr>
        <w:t xml:space="preserve"> of this supplement for additional information regarding Contribution, a non-GAAP financial measure.</w:t>
      </w:r>
    </w:p>
    <w:p>
      <w:pPr>
        <w:ind w:left="85" w:hanging="85"/>
        <w:spacing w:after="0" w:line="207" w:lineRule="auto"/>
        <w:tabs>
          <w:tab w:leader="none" w:pos="85" w:val="left"/>
        </w:tabs>
        <w:numPr>
          <w:ilvl w:val="0"/>
          <w:numId w:val="10"/>
        </w:numPr>
        <w:rPr>
          <w:rFonts w:ascii="Times New Roman" w:cs="Times New Roman" w:eastAsia="Times New Roman" w:hAnsi="Times New Roman"/>
          <w:sz w:val="20"/>
          <w:szCs w:val="20"/>
          <w:color w:val="707070"/>
          <w:vertAlign w:val="superscript"/>
        </w:rPr>
      </w:pPr>
      <w:r>
        <w:rPr>
          <w:rFonts w:ascii="Times New Roman" w:cs="Times New Roman" w:eastAsia="Times New Roman" w:hAnsi="Times New Roman"/>
          <w:sz w:val="16"/>
          <w:szCs w:val="16"/>
          <w:color w:val="707070"/>
        </w:rPr>
        <w:t xml:space="preserve">See page </w:t>
      </w:r>
      <w:r>
        <w:rPr>
          <w:rFonts w:ascii="Times New Roman" w:cs="Times New Roman" w:eastAsia="Times New Roman" w:hAnsi="Times New Roman"/>
          <w:sz w:val="16"/>
          <w:szCs w:val="16"/>
          <w:u w:val="single" w:color="auto"/>
          <w:color w:val="707070"/>
        </w:rPr>
        <w:t>13</w:t>
      </w:r>
      <w:r>
        <w:rPr>
          <w:rFonts w:ascii="Times New Roman" w:cs="Times New Roman" w:eastAsia="Times New Roman" w:hAnsi="Times New Roman"/>
          <w:sz w:val="16"/>
          <w:szCs w:val="16"/>
          <w:color w:val="707070"/>
        </w:rPr>
        <w:t xml:space="preserve"> of this supplement for additional information regarding Adjusted EBITDA, a non-GAAP financial measure.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F36D4D"/>
        </w:rPr>
        <w:t>8</w:t>
      </w:r>
    </w:p>
    <w:p>
      <w:pPr>
        <w:sectPr>
          <w:pgSz w:w="11900" w:h="16838" w:orient="portrait"/>
          <w:cols w:equalWidth="0" w:num="1">
            <w:col w:w="10965"/>
          </w:cols>
          <w:pgMar w:left="315" w:top="817" w:right="619" w:bottom="1440" w:gutter="0" w:footer="0" w:header="0"/>
        </w:sectPr>
      </w:pPr>
    </w:p>
    <w:bookmarkStart w:id="21" w:name="page22"/>
    <w:bookmarkEnd w:id="21"/>
    <w:p>
      <w:pPr>
        <w:jc w:val="center"/>
        <w:ind w:right="-159"/>
        <w:spacing w:after="0"/>
        <w:rPr>
          <w:sz w:val="20"/>
          <w:szCs w:val="20"/>
          <w:color w:val="auto"/>
        </w:rPr>
      </w:pPr>
      <w:r>
        <w:rPr>
          <w:rFonts w:ascii="Times New Roman" w:cs="Times New Roman" w:eastAsia="Times New Roman" w:hAnsi="Times New Roman"/>
          <w:sz w:val="38"/>
          <w:szCs w:val="38"/>
          <w:b w:val="1"/>
          <w:bCs w:val="1"/>
          <w:color w:val="auto"/>
        </w:rPr>
        <w:drawing>
          <wp:anchor simplePos="0" relativeHeight="251657728" behindDoc="1" locked="0" layoutInCell="0" allowOverlap="1">
            <wp:simplePos x="0" y="0"/>
            <wp:positionH relativeFrom="page">
              <wp:posOffset>7101205</wp:posOffset>
            </wp:positionH>
            <wp:positionV relativeFrom="page">
              <wp:posOffset>88900</wp:posOffset>
            </wp:positionV>
            <wp:extent cx="247650" cy="2101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47650" cy="210185"/>
                    </a:xfrm>
                    <a:prstGeom prst="rect">
                      <a:avLst/>
                    </a:prstGeom>
                    <a:noFill/>
                  </pic:spPr>
                </pic:pic>
              </a:graphicData>
            </a:graphic>
          </wp:anchor>
        </w:drawing>
        <w:t>Key Business Metrics</w:t>
      </w:r>
    </w:p>
    <w:p>
      <w:pPr>
        <w:spacing w:after="0" w:line="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38"/>
          <w:szCs w:val="38"/>
          <w:b w:val="1"/>
          <w:bCs w:val="1"/>
          <w:color w:val="auto"/>
        </w:rPr>
        <w:t>and Non-GAAP Financial Measures</w:t>
      </w:r>
    </w:p>
    <w:p>
      <w:pPr>
        <w:spacing w:after="0" w:line="8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707070"/>
        </w:rPr>
        <w:t>In addition to traditional financial metrics, we rely upon certain business metrics that are not presented in accordance with GAAP to estimate the volume of spending on our platform, estimate and recognize revenue, evaluate our business performance and facilitate our operations. Such business metrics should not be considered in isolation from, or as an alternative to, measures presented in accordance with GAAP and should be considered together with other operating and financial performance measures presented in accordance with GAAP. Also, such business and operating metrics may not necessarily be comparable to similarly titled measures presented by other companies.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4"/>
          <w:szCs w:val="14"/>
          <w:color w:val="F36D4D"/>
        </w:rPr>
        <w:t>9</w:t>
      </w:r>
    </w:p>
    <w:p>
      <w:pPr>
        <w:sectPr>
          <w:pgSz w:w="11900" w:h="16838" w:orient="portrait"/>
          <w:cols w:equalWidth="0" w:num="1">
            <w:col w:w="11080"/>
          </w:cols>
          <w:pgMar w:left="320" w:top="817" w:right="499" w:bottom="1440" w:gutter="0" w:footer="0" w:header="0"/>
        </w:sectPr>
      </w:pPr>
    </w:p>
    <w:bookmarkStart w:id="22" w:name="page23"/>
    <w:bookmarkEnd w:id="22"/>
    <w:p>
      <w:pPr>
        <w:jc w:val="center"/>
        <w:ind w:right="840"/>
        <w:spacing w:after="0"/>
        <w:rPr>
          <w:sz w:val="20"/>
          <w:szCs w:val="20"/>
          <w:color w:val="auto"/>
        </w:rPr>
      </w:pPr>
      <w:r>
        <w:rPr>
          <w:rFonts w:ascii="Times New Roman" w:cs="Times New Roman" w:eastAsia="Times New Roman" w:hAnsi="Times New Roman"/>
          <w:sz w:val="38"/>
          <w:szCs w:val="38"/>
          <w:b w:val="1"/>
          <w:bCs w:val="1"/>
          <w:color w:val="535353"/>
        </w:rPr>
        <w:drawing>
          <wp:anchor simplePos="0" relativeHeight="251657728" behindDoc="1" locked="0" layoutInCell="0" allowOverlap="1">
            <wp:simplePos x="0" y="0"/>
            <wp:positionH relativeFrom="page">
              <wp:posOffset>7101205</wp:posOffset>
            </wp:positionH>
            <wp:positionV relativeFrom="page">
              <wp:posOffset>88900</wp:posOffset>
            </wp:positionV>
            <wp:extent cx="247650" cy="2101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47650" cy="210185"/>
                    </a:xfrm>
                    <a:prstGeom prst="rect">
                      <a:avLst/>
                    </a:prstGeom>
                    <a:noFill/>
                  </pic:spPr>
                </pic:pic>
              </a:graphicData>
            </a:graphic>
          </wp:anchor>
        </w:drawing>
        <w:t>Revenue</w:t>
      </w:r>
    </w:p>
    <w:p>
      <w:pPr>
        <w:spacing w:after="0" w:line="20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5"/>
          <w:szCs w:val="25"/>
          <w:b w:val="1"/>
          <w:bCs w:val="1"/>
          <w:color w:val="535353"/>
        </w:rPr>
        <w:t>Revenue by Vertical</w:t>
      </w:r>
    </w:p>
    <w:p>
      <w:pPr>
        <w:spacing w:after="0" w:line="264"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8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535353"/>
              </w:rPr>
              <w:t>Three Months Ended March 31,</w:t>
            </w:r>
          </w:p>
        </w:tc>
      </w:tr>
      <w:tr>
        <w:trPr>
          <w:trHeight w:val="192"/>
        </w:trPr>
        <w:tc>
          <w:tcPr>
            <w:tcW w:w="270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b w:val="1"/>
                <w:bCs w:val="1"/>
                <w:color w:val="535353"/>
              </w:rPr>
              <w:t>(in thousands)</w:t>
            </w:r>
          </w:p>
        </w:tc>
        <w:tc>
          <w:tcPr>
            <w:tcW w:w="1120" w:type="dxa"/>
            <w:vAlign w:val="bottom"/>
            <w:tcBorders>
              <w:bottom w:val="single" w:sz="8" w:color="EE4921"/>
            </w:tcBorders>
          </w:tcPr>
          <w:p>
            <w:pPr>
              <w:spacing w:after="0"/>
              <w:rPr>
                <w:sz w:val="16"/>
                <w:szCs w:val="16"/>
                <w:color w:val="auto"/>
              </w:rPr>
            </w:pPr>
          </w:p>
        </w:tc>
        <w:tc>
          <w:tcPr>
            <w:tcW w:w="1060" w:type="dxa"/>
            <w:vAlign w:val="bottom"/>
            <w:tcBorders>
              <w:bottom w:val="single" w:sz="8" w:color="EE4921"/>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535353"/>
              </w:rPr>
              <w:t>2026</w:t>
            </w:r>
          </w:p>
        </w:tc>
        <w:tc>
          <w:tcPr>
            <w:tcW w:w="300" w:type="dxa"/>
            <w:vAlign w:val="bottom"/>
            <w:tcBorders>
              <w:bottom w:val="single" w:sz="8" w:color="EE4921"/>
            </w:tcBorders>
          </w:tcPr>
          <w:p>
            <w:pPr>
              <w:spacing w:after="0"/>
              <w:rPr>
                <w:sz w:val="16"/>
                <w:szCs w:val="16"/>
                <w:color w:val="auto"/>
              </w:rPr>
            </w:pPr>
          </w:p>
        </w:tc>
        <w:tc>
          <w:tcPr>
            <w:tcW w:w="920" w:type="dxa"/>
            <w:vAlign w:val="bottom"/>
            <w:tcBorders>
              <w:bottom w:val="single" w:sz="8" w:color="EE4921"/>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535353"/>
              </w:rPr>
              <w:t>2025</w:t>
            </w:r>
          </w:p>
        </w:tc>
      </w:tr>
      <w:tr>
        <w:trPr>
          <w:trHeight w:val="181"/>
        </w:trPr>
        <w:tc>
          <w:tcPr>
            <w:tcW w:w="270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color w:val="535353"/>
              </w:rPr>
              <w:t>Property &amp; Casualty insurance</w:t>
            </w:r>
          </w:p>
        </w:tc>
        <w:tc>
          <w:tcPr>
            <w:tcW w:w="1120" w:type="dxa"/>
            <w:vAlign w:val="bottom"/>
            <w:tcBorders>
              <w:bottom w:val="single" w:sz="8" w:color="EE4921"/>
            </w:tcBorders>
          </w:tcPr>
          <w:p>
            <w:pPr>
              <w:jc w:val="right"/>
              <w:ind w:right="9"/>
              <w:spacing w:after="0"/>
              <w:rPr>
                <w:sz w:val="20"/>
                <w:szCs w:val="20"/>
                <w:color w:val="auto"/>
              </w:rPr>
            </w:pPr>
            <w:r>
              <w:rPr>
                <w:rFonts w:ascii="Times New Roman" w:cs="Times New Roman" w:eastAsia="Times New Roman" w:hAnsi="Times New Roman"/>
                <w:sz w:val="14"/>
                <w:szCs w:val="14"/>
                <w:color w:val="535353"/>
              </w:rPr>
              <w:t>$</w:t>
            </w:r>
          </w:p>
        </w:tc>
        <w:tc>
          <w:tcPr>
            <w:tcW w:w="1060" w:type="dxa"/>
            <w:vAlign w:val="bottom"/>
            <w:tcBorders>
              <w:bottom w:val="single" w:sz="8" w:color="EE4921"/>
            </w:tcBorders>
          </w:tcPr>
          <w:p>
            <w:pPr>
              <w:jc w:val="right"/>
              <w:ind w:right="149"/>
              <w:spacing w:after="0"/>
              <w:rPr>
                <w:sz w:val="20"/>
                <w:szCs w:val="20"/>
                <w:color w:val="auto"/>
              </w:rPr>
            </w:pPr>
            <w:r>
              <w:rPr>
                <w:rFonts w:ascii="Times New Roman" w:cs="Times New Roman" w:eastAsia="Times New Roman" w:hAnsi="Times New Roman"/>
                <w:sz w:val="14"/>
                <w:szCs w:val="14"/>
                <w:color w:val="535353"/>
              </w:rPr>
              <w:t>292,788</w:t>
            </w:r>
          </w:p>
        </w:tc>
        <w:tc>
          <w:tcPr>
            <w:tcW w:w="30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w:t>
            </w:r>
          </w:p>
        </w:tc>
        <w:tc>
          <w:tcPr>
            <w:tcW w:w="92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223,245</w:t>
            </w:r>
          </w:p>
        </w:tc>
      </w:tr>
      <w:tr>
        <w:trPr>
          <w:trHeight w:val="181"/>
        </w:trPr>
        <w:tc>
          <w:tcPr>
            <w:tcW w:w="270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color w:val="535353"/>
              </w:rPr>
              <w:t>Percentage of total Revenue</w:t>
            </w:r>
          </w:p>
        </w:tc>
        <w:tc>
          <w:tcPr>
            <w:tcW w:w="1120" w:type="dxa"/>
            <w:vAlign w:val="bottom"/>
            <w:tcBorders>
              <w:bottom w:val="single" w:sz="8" w:color="EE4921"/>
            </w:tcBorders>
          </w:tcPr>
          <w:p>
            <w:pPr>
              <w:spacing w:after="0"/>
              <w:rPr>
                <w:sz w:val="15"/>
                <w:szCs w:val="15"/>
                <w:color w:val="auto"/>
              </w:rPr>
            </w:pPr>
          </w:p>
        </w:tc>
        <w:tc>
          <w:tcPr>
            <w:tcW w:w="106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94.4 %</w:t>
            </w:r>
          </w:p>
        </w:tc>
        <w:tc>
          <w:tcPr>
            <w:tcW w:w="300" w:type="dxa"/>
            <w:vAlign w:val="bottom"/>
            <w:tcBorders>
              <w:bottom w:val="single" w:sz="8" w:color="EE4921"/>
            </w:tcBorders>
          </w:tcPr>
          <w:p>
            <w:pPr>
              <w:spacing w:after="0"/>
              <w:rPr>
                <w:sz w:val="15"/>
                <w:szCs w:val="15"/>
                <w:color w:val="auto"/>
              </w:rPr>
            </w:pPr>
          </w:p>
        </w:tc>
        <w:tc>
          <w:tcPr>
            <w:tcW w:w="92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84.5 %</w:t>
            </w:r>
          </w:p>
        </w:tc>
      </w:tr>
      <w:tr>
        <w:trPr>
          <w:trHeight w:val="181"/>
        </w:trPr>
        <w:tc>
          <w:tcPr>
            <w:tcW w:w="270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color w:val="535353"/>
              </w:rPr>
              <w:t>Health insurance</w:t>
            </w:r>
          </w:p>
        </w:tc>
        <w:tc>
          <w:tcPr>
            <w:tcW w:w="1120" w:type="dxa"/>
            <w:vAlign w:val="bottom"/>
            <w:tcBorders>
              <w:bottom w:val="single" w:sz="8" w:color="EE4921"/>
            </w:tcBorders>
          </w:tcPr>
          <w:p>
            <w:pPr>
              <w:spacing w:after="0"/>
              <w:rPr>
                <w:sz w:val="15"/>
                <w:szCs w:val="15"/>
                <w:color w:val="auto"/>
              </w:rPr>
            </w:pPr>
          </w:p>
        </w:tc>
        <w:tc>
          <w:tcPr>
            <w:tcW w:w="1060" w:type="dxa"/>
            <w:vAlign w:val="bottom"/>
            <w:tcBorders>
              <w:bottom w:val="single" w:sz="8" w:color="EE4921"/>
            </w:tcBorders>
          </w:tcPr>
          <w:p>
            <w:pPr>
              <w:jc w:val="right"/>
              <w:ind w:right="149"/>
              <w:spacing w:after="0"/>
              <w:rPr>
                <w:sz w:val="20"/>
                <w:szCs w:val="20"/>
                <w:color w:val="auto"/>
              </w:rPr>
            </w:pPr>
            <w:r>
              <w:rPr>
                <w:rFonts w:ascii="Times New Roman" w:cs="Times New Roman" w:eastAsia="Times New Roman" w:hAnsi="Times New Roman"/>
                <w:sz w:val="14"/>
                <w:szCs w:val="14"/>
                <w:color w:val="535353"/>
              </w:rPr>
              <w:t>11,165</w:t>
            </w:r>
          </w:p>
        </w:tc>
        <w:tc>
          <w:tcPr>
            <w:tcW w:w="300" w:type="dxa"/>
            <w:vAlign w:val="bottom"/>
            <w:tcBorders>
              <w:bottom w:val="single" w:sz="8" w:color="EE4921"/>
            </w:tcBorders>
          </w:tcPr>
          <w:p>
            <w:pPr>
              <w:spacing w:after="0"/>
              <w:rPr>
                <w:sz w:val="15"/>
                <w:szCs w:val="15"/>
                <w:color w:val="auto"/>
              </w:rPr>
            </w:pPr>
          </w:p>
        </w:tc>
        <w:tc>
          <w:tcPr>
            <w:tcW w:w="92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33,937</w:t>
            </w:r>
          </w:p>
        </w:tc>
      </w:tr>
      <w:tr>
        <w:trPr>
          <w:trHeight w:val="181"/>
        </w:trPr>
        <w:tc>
          <w:tcPr>
            <w:tcW w:w="270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color w:val="535353"/>
              </w:rPr>
              <w:t>Percentage of total Revenue</w:t>
            </w:r>
          </w:p>
        </w:tc>
        <w:tc>
          <w:tcPr>
            <w:tcW w:w="1120" w:type="dxa"/>
            <w:vAlign w:val="bottom"/>
            <w:tcBorders>
              <w:bottom w:val="single" w:sz="8" w:color="EE4921"/>
            </w:tcBorders>
          </w:tcPr>
          <w:p>
            <w:pPr>
              <w:spacing w:after="0"/>
              <w:rPr>
                <w:sz w:val="15"/>
                <w:szCs w:val="15"/>
                <w:color w:val="auto"/>
              </w:rPr>
            </w:pPr>
          </w:p>
        </w:tc>
        <w:tc>
          <w:tcPr>
            <w:tcW w:w="106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3.6 %</w:t>
            </w:r>
          </w:p>
        </w:tc>
        <w:tc>
          <w:tcPr>
            <w:tcW w:w="300" w:type="dxa"/>
            <w:vAlign w:val="bottom"/>
            <w:tcBorders>
              <w:bottom w:val="single" w:sz="8" w:color="EE4921"/>
            </w:tcBorders>
          </w:tcPr>
          <w:p>
            <w:pPr>
              <w:spacing w:after="0"/>
              <w:rPr>
                <w:sz w:val="15"/>
                <w:szCs w:val="15"/>
                <w:color w:val="auto"/>
              </w:rPr>
            </w:pPr>
          </w:p>
        </w:tc>
        <w:tc>
          <w:tcPr>
            <w:tcW w:w="92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12.8 %</w:t>
            </w:r>
          </w:p>
        </w:tc>
      </w:tr>
      <w:tr>
        <w:trPr>
          <w:trHeight w:val="181"/>
        </w:trPr>
        <w:tc>
          <w:tcPr>
            <w:tcW w:w="270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color w:val="535353"/>
              </w:rPr>
              <w:t>Life insurance</w:t>
            </w:r>
          </w:p>
        </w:tc>
        <w:tc>
          <w:tcPr>
            <w:tcW w:w="1120" w:type="dxa"/>
            <w:vAlign w:val="bottom"/>
            <w:tcBorders>
              <w:bottom w:val="single" w:sz="8" w:color="EE4921"/>
            </w:tcBorders>
          </w:tcPr>
          <w:p>
            <w:pPr>
              <w:spacing w:after="0"/>
              <w:rPr>
                <w:sz w:val="15"/>
                <w:szCs w:val="15"/>
                <w:color w:val="auto"/>
              </w:rPr>
            </w:pPr>
          </w:p>
        </w:tc>
        <w:tc>
          <w:tcPr>
            <w:tcW w:w="1060" w:type="dxa"/>
            <w:vAlign w:val="bottom"/>
            <w:tcBorders>
              <w:bottom w:val="single" w:sz="8" w:color="EE4921"/>
            </w:tcBorders>
          </w:tcPr>
          <w:p>
            <w:pPr>
              <w:jc w:val="right"/>
              <w:ind w:right="149"/>
              <w:spacing w:after="0"/>
              <w:rPr>
                <w:sz w:val="20"/>
                <w:szCs w:val="20"/>
                <w:color w:val="auto"/>
              </w:rPr>
            </w:pPr>
            <w:r>
              <w:rPr>
                <w:rFonts w:ascii="Times New Roman" w:cs="Times New Roman" w:eastAsia="Times New Roman" w:hAnsi="Times New Roman"/>
                <w:sz w:val="14"/>
                <w:szCs w:val="14"/>
                <w:color w:val="535353"/>
              </w:rPr>
              <w:t>5,841</w:t>
            </w:r>
          </w:p>
        </w:tc>
        <w:tc>
          <w:tcPr>
            <w:tcW w:w="300" w:type="dxa"/>
            <w:vAlign w:val="bottom"/>
            <w:tcBorders>
              <w:bottom w:val="single" w:sz="8" w:color="EE4921"/>
            </w:tcBorders>
          </w:tcPr>
          <w:p>
            <w:pPr>
              <w:spacing w:after="0"/>
              <w:rPr>
                <w:sz w:val="15"/>
                <w:szCs w:val="15"/>
                <w:color w:val="auto"/>
              </w:rPr>
            </w:pPr>
          </w:p>
        </w:tc>
        <w:tc>
          <w:tcPr>
            <w:tcW w:w="92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5,573</w:t>
            </w:r>
          </w:p>
        </w:tc>
      </w:tr>
      <w:tr>
        <w:trPr>
          <w:trHeight w:val="181"/>
        </w:trPr>
        <w:tc>
          <w:tcPr>
            <w:tcW w:w="270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color w:val="535353"/>
              </w:rPr>
              <w:t>Percentage of total Revenue</w:t>
            </w:r>
          </w:p>
        </w:tc>
        <w:tc>
          <w:tcPr>
            <w:tcW w:w="1120" w:type="dxa"/>
            <w:vAlign w:val="bottom"/>
            <w:tcBorders>
              <w:bottom w:val="single" w:sz="8" w:color="EE4921"/>
            </w:tcBorders>
          </w:tcPr>
          <w:p>
            <w:pPr>
              <w:spacing w:after="0"/>
              <w:rPr>
                <w:sz w:val="15"/>
                <w:szCs w:val="15"/>
                <w:color w:val="auto"/>
              </w:rPr>
            </w:pPr>
          </w:p>
        </w:tc>
        <w:tc>
          <w:tcPr>
            <w:tcW w:w="106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1.9 %</w:t>
            </w:r>
          </w:p>
        </w:tc>
        <w:tc>
          <w:tcPr>
            <w:tcW w:w="300" w:type="dxa"/>
            <w:vAlign w:val="bottom"/>
            <w:tcBorders>
              <w:bottom w:val="single" w:sz="8" w:color="EE4921"/>
            </w:tcBorders>
          </w:tcPr>
          <w:p>
            <w:pPr>
              <w:spacing w:after="0"/>
              <w:rPr>
                <w:sz w:val="15"/>
                <w:szCs w:val="15"/>
                <w:color w:val="auto"/>
              </w:rPr>
            </w:pPr>
          </w:p>
        </w:tc>
        <w:tc>
          <w:tcPr>
            <w:tcW w:w="92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2.1 %</w:t>
            </w:r>
          </w:p>
        </w:tc>
      </w:tr>
      <w:tr>
        <w:trPr>
          <w:trHeight w:val="181"/>
        </w:trPr>
        <w:tc>
          <w:tcPr>
            <w:tcW w:w="270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color w:val="535353"/>
              </w:rPr>
              <w:t>Other</w:t>
            </w:r>
          </w:p>
        </w:tc>
        <w:tc>
          <w:tcPr>
            <w:tcW w:w="1120" w:type="dxa"/>
            <w:vAlign w:val="bottom"/>
            <w:tcBorders>
              <w:bottom w:val="single" w:sz="8" w:color="EE4921"/>
            </w:tcBorders>
          </w:tcPr>
          <w:p>
            <w:pPr>
              <w:spacing w:after="0"/>
              <w:rPr>
                <w:sz w:val="15"/>
                <w:szCs w:val="15"/>
                <w:color w:val="auto"/>
              </w:rPr>
            </w:pPr>
          </w:p>
        </w:tc>
        <w:tc>
          <w:tcPr>
            <w:tcW w:w="1060" w:type="dxa"/>
            <w:vAlign w:val="bottom"/>
            <w:tcBorders>
              <w:bottom w:val="single" w:sz="8" w:color="EE4921"/>
            </w:tcBorders>
          </w:tcPr>
          <w:p>
            <w:pPr>
              <w:jc w:val="right"/>
              <w:ind w:right="149"/>
              <w:spacing w:after="0"/>
              <w:rPr>
                <w:sz w:val="20"/>
                <w:szCs w:val="20"/>
                <w:color w:val="auto"/>
              </w:rPr>
            </w:pPr>
            <w:r>
              <w:rPr>
                <w:rFonts w:ascii="Times New Roman" w:cs="Times New Roman" w:eastAsia="Times New Roman" w:hAnsi="Times New Roman"/>
                <w:sz w:val="14"/>
                <w:szCs w:val="14"/>
                <w:color w:val="535353"/>
              </w:rPr>
              <w:t>210</w:t>
            </w:r>
          </w:p>
        </w:tc>
        <w:tc>
          <w:tcPr>
            <w:tcW w:w="300" w:type="dxa"/>
            <w:vAlign w:val="bottom"/>
            <w:tcBorders>
              <w:bottom w:val="single" w:sz="8" w:color="EE4921"/>
            </w:tcBorders>
          </w:tcPr>
          <w:p>
            <w:pPr>
              <w:spacing w:after="0"/>
              <w:rPr>
                <w:sz w:val="15"/>
                <w:szCs w:val="15"/>
                <w:color w:val="auto"/>
              </w:rPr>
            </w:pPr>
          </w:p>
        </w:tc>
        <w:tc>
          <w:tcPr>
            <w:tcW w:w="92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1,554</w:t>
            </w:r>
          </w:p>
        </w:tc>
      </w:tr>
      <w:tr>
        <w:trPr>
          <w:trHeight w:val="181"/>
        </w:trPr>
        <w:tc>
          <w:tcPr>
            <w:tcW w:w="270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color w:val="535353"/>
              </w:rPr>
              <w:t>Percentage of total Revenue</w:t>
            </w:r>
          </w:p>
        </w:tc>
        <w:tc>
          <w:tcPr>
            <w:tcW w:w="1120" w:type="dxa"/>
            <w:vAlign w:val="bottom"/>
            <w:tcBorders>
              <w:bottom w:val="single" w:sz="8" w:color="EE4921"/>
            </w:tcBorders>
          </w:tcPr>
          <w:p>
            <w:pPr>
              <w:spacing w:after="0"/>
              <w:rPr>
                <w:sz w:val="15"/>
                <w:szCs w:val="15"/>
                <w:color w:val="auto"/>
              </w:rPr>
            </w:pPr>
          </w:p>
        </w:tc>
        <w:tc>
          <w:tcPr>
            <w:tcW w:w="106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0.1 %</w:t>
            </w:r>
          </w:p>
        </w:tc>
        <w:tc>
          <w:tcPr>
            <w:tcW w:w="300" w:type="dxa"/>
            <w:vAlign w:val="bottom"/>
            <w:tcBorders>
              <w:bottom w:val="single" w:sz="8" w:color="EE4921"/>
            </w:tcBorders>
          </w:tcPr>
          <w:p>
            <w:pPr>
              <w:spacing w:after="0"/>
              <w:rPr>
                <w:sz w:val="15"/>
                <w:szCs w:val="15"/>
                <w:color w:val="auto"/>
              </w:rPr>
            </w:pPr>
          </w:p>
        </w:tc>
        <w:tc>
          <w:tcPr>
            <w:tcW w:w="92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0.6 %</w:t>
            </w:r>
          </w:p>
        </w:tc>
      </w:tr>
      <w:tr>
        <w:trPr>
          <w:trHeight w:val="181"/>
        </w:trPr>
        <w:tc>
          <w:tcPr>
            <w:tcW w:w="270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color w:val="535353"/>
              </w:rPr>
              <w:t>Total Revenue</w:t>
            </w:r>
          </w:p>
        </w:tc>
        <w:tc>
          <w:tcPr>
            <w:tcW w:w="1120" w:type="dxa"/>
            <w:vAlign w:val="bottom"/>
            <w:tcBorders>
              <w:bottom w:val="single" w:sz="8" w:color="EE4921"/>
            </w:tcBorders>
          </w:tcPr>
          <w:p>
            <w:pPr>
              <w:jc w:val="right"/>
              <w:ind w:right="9"/>
              <w:spacing w:after="0"/>
              <w:rPr>
                <w:sz w:val="20"/>
                <w:szCs w:val="20"/>
                <w:color w:val="auto"/>
              </w:rPr>
            </w:pPr>
            <w:r>
              <w:rPr>
                <w:rFonts w:ascii="Times New Roman" w:cs="Times New Roman" w:eastAsia="Times New Roman" w:hAnsi="Times New Roman"/>
                <w:sz w:val="14"/>
                <w:szCs w:val="14"/>
                <w:color w:val="535353"/>
              </w:rPr>
              <w:t>$</w:t>
            </w:r>
          </w:p>
        </w:tc>
        <w:tc>
          <w:tcPr>
            <w:tcW w:w="1060" w:type="dxa"/>
            <w:vAlign w:val="bottom"/>
            <w:tcBorders>
              <w:bottom w:val="single" w:sz="8" w:color="EE4921"/>
            </w:tcBorders>
          </w:tcPr>
          <w:p>
            <w:pPr>
              <w:jc w:val="right"/>
              <w:ind w:right="149"/>
              <w:spacing w:after="0"/>
              <w:rPr>
                <w:sz w:val="20"/>
                <w:szCs w:val="20"/>
                <w:color w:val="auto"/>
              </w:rPr>
            </w:pPr>
            <w:r>
              <w:rPr>
                <w:rFonts w:ascii="Times New Roman" w:cs="Times New Roman" w:eastAsia="Times New Roman" w:hAnsi="Times New Roman"/>
                <w:sz w:val="14"/>
                <w:szCs w:val="14"/>
                <w:color w:val="535353"/>
              </w:rPr>
              <w:t>310,004</w:t>
            </w:r>
          </w:p>
        </w:tc>
        <w:tc>
          <w:tcPr>
            <w:tcW w:w="30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w:t>
            </w:r>
          </w:p>
        </w:tc>
        <w:tc>
          <w:tcPr>
            <w:tcW w:w="92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264,309</w:t>
            </w:r>
          </w:p>
        </w:tc>
      </w:tr>
    </w:tbl>
    <w:p>
      <w:pPr>
        <w:spacing w:after="0" w:line="23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5"/>
          <w:szCs w:val="25"/>
          <w:b w:val="1"/>
          <w:bCs w:val="1"/>
          <w:color w:val="535353"/>
        </w:rPr>
        <w:t>Revenue by Platform Model</w:t>
      </w:r>
    </w:p>
    <w:p>
      <w:pPr>
        <w:spacing w:after="0" w:line="253"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8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535353"/>
              </w:rPr>
              <w:t>Three Months Ended March 31,</w:t>
            </w:r>
          </w:p>
        </w:tc>
      </w:tr>
      <w:tr>
        <w:trPr>
          <w:trHeight w:val="192"/>
        </w:trPr>
        <w:tc>
          <w:tcPr>
            <w:tcW w:w="276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b w:val="1"/>
                <w:bCs w:val="1"/>
                <w:color w:val="535353"/>
              </w:rPr>
              <w:t>(in thousands)</w:t>
            </w:r>
          </w:p>
        </w:tc>
        <w:tc>
          <w:tcPr>
            <w:tcW w:w="1060" w:type="dxa"/>
            <w:vAlign w:val="bottom"/>
            <w:tcBorders>
              <w:bottom w:val="single" w:sz="8" w:color="EE4921"/>
            </w:tcBorders>
          </w:tcPr>
          <w:p>
            <w:pPr>
              <w:spacing w:after="0"/>
              <w:rPr>
                <w:sz w:val="16"/>
                <w:szCs w:val="16"/>
                <w:color w:val="auto"/>
              </w:rPr>
            </w:pPr>
          </w:p>
        </w:tc>
        <w:tc>
          <w:tcPr>
            <w:tcW w:w="1060" w:type="dxa"/>
            <w:vAlign w:val="bottom"/>
            <w:tcBorders>
              <w:bottom w:val="single" w:sz="8" w:color="EE4921"/>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535353"/>
              </w:rPr>
              <w:t>2026</w:t>
            </w:r>
          </w:p>
        </w:tc>
        <w:tc>
          <w:tcPr>
            <w:tcW w:w="300" w:type="dxa"/>
            <w:vAlign w:val="bottom"/>
            <w:tcBorders>
              <w:bottom w:val="single" w:sz="8" w:color="EE4921"/>
            </w:tcBorders>
          </w:tcPr>
          <w:p>
            <w:pPr>
              <w:spacing w:after="0"/>
              <w:rPr>
                <w:sz w:val="16"/>
                <w:szCs w:val="16"/>
                <w:color w:val="auto"/>
              </w:rPr>
            </w:pPr>
          </w:p>
        </w:tc>
        <w:tc>
          <w:tcPr>
            <w:tcW w:w="920" w:type="dxa"/>
            <w:vAlign w:val="bottom"/>
            <w:tcBorders>
              <w:bottom w:val="single" w:sz="8" w:color="EE4921"/>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535353"/>
              </w:rPr>
              <w:t>2025</w:t>
            </w:r>
          </w:p>
        </w:tc>
      </w:tr>
      <w:tr>
        <w:trPr>
          <w:trHeight w:val="181"/>
        </w:trPr>
        <w:tc>
          <w:tcPr>
            <w:tcW w:w="276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color w:val="535353"/>
              </w:rPr>
              <w:t>Open Marketplace transactions</w:t>
            </w:r>
          </w:p>
        </w:tc>
        <w:tc>
          <w:tcPr>
            <w:tcW w:w="1060" w:type="dxa"/>
            <w:vAlign w:val="bottom"/>
            <w:tcBorders>
              <w:bottom w:val="single" w:sz="8" w:color="EE4921"/>
            </w:tcBorders>
          </w:tcPr>
          <w:p>
            <w:pPr>
              <w:jc w:val="right"/>
              <w:ind w:right="9"/>
              <w:spacing w:after="0"/>
              <w:rPr>
                <w:sz w:val="20"/>
                <w:szCs w:val="20"/>
                <w:color w:val="auto"/>
              </w:rPr>
            </w:pPr>
            <w:r>
              <w:rPr>
                <w:rFonts w:ascii="Times New Roman" w:cs="Times New Roman" w:eastAsia="Times New Roman" w:hAnsi="Times New Roman"/>
                <w:sz w:val="14"/>
                <w:szCs w:val="14"/>
                <w:color w:val="535353"/>
              </w:rPr>
              <w:t>$</w:t>
            </w:r>
          </w:p>
        </w:tc>
        <w:tc>
          <w:tcPr>
            <w:tcW w:w="1060" w:type="dxa"/>
            <w:vAlign w:val="bottom"/>
            <w:tcBorders>
              <w:bottom w:val="single" w:sz="8" w:color="EE4921"/>
            </w:tcBorders>
          </w:tcPr>
          <w:p>
            <w:pPr>
              <w:jc w:val="right"/>
              <w:ind w:right="149"/>
              <w:spacing w:after="0"/>
              <w:rPr>
                <w:sz w:val="20"/>
                <w:szCs w:val="20"/>
                <w:color w:val="auto"/>
              </w:rPr>
            </w:pPr>
            <w:r>
              <w:rPr>
                <w:rFonts w:ascii="Times New Roman" w:cs="Times New Roman" w:eastAsia="Times New Roman" w:hAnsi="Times New Roman"/>
                <w:sz w:val="14"/>
                <w:szCs w:val="14"/>
                <w:color w:val="535353"/>
              </w:rPr>
              <w:t>303,817</w:t>
            </w:r>
          </w:p>
        </w:tc>
        <w:tc>
          <w:tcPr>
            <w:tcW w:w="30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w:t>
            </w:r>
          </w:p>
        </w:tc>
        <w:tc>
          <w:tcPr>
            <w:tcW w:w="92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258,419</w:t>
            </w:r>
          </w:p>
        </w:tc>
      </w:tr>
      <w:tr>
        <w:trPr>
          <w:trHeight w:val="181"/>
        </w:trPr>
        <w:tc>
          <w:tcPr>
            <w:tcW w:w="276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color w:val="535353"/>
              </w:rPr>
              <w:t>Percentage of total Revenue</w:t>
            </w:r>
          </w:p>
        </w:tc>
        <w:tc>
          <w:tcPr>
            <w:tcW w:w="1060" w:type="dxa"/>
            <w:vAlign w:val="bottom"/>
            <w:tcBorders>
              <w:bottom w:val="single" w:sz="8" w:color="EE4921"/>
            </w:tcBorders>
          </w:tcPr>
          <w:p>
            <w:pPr>
              <w:spacing w:after="0"/>
              <w:rPr>
                <w:sz w:val="15"/>
                <w:szCs w:val="15"/>
                <w:color w:val="auto"/>
              </w:rPr>
            </w:pPr>
          </w:p>
        </w:tc>
        <w:tc>
          <w:tcPr>
            <w:tcW w:w="106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98.0 %</w:t>
            </w:r>
          </w:p>
        </w:tc>
        <w:tc>
          <w:tcPr>
            <w:tcW w:w="300" w:type="dxa"/>
            <w:vAlign w:val="bottom"/>
            <w:tcBorders>
              <w:bottom w:val="single" w:sz="8" w:color="EE4921"/>
            </w:tcBorders>
          </w:tcPr>
          <w:p>
            <w:pPr>
              <w:spacing w:after="0"/>
              <w:rPr>
                <w:sz w:val="15"/>
                <w:szCs w:val="15"/>
                <w:color w:val="auto"/>
              </w:rPr>
            </w:pPr>
          </w:p>
        </w:tc>
        <w:tc>
          <w:tcPr>
            <w:tcW w:w="92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97.8 %</w:t>
            </w:r>
          </w:p>
        </w:tc>
      </w:tr>
      <w:tr>
        <w:trPr>
          <w:trHeight w:val="181"/>
        </w:trPr>
        <w:tc>
          <w:tcPr>
            <w:tcW w:w="276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color w:val="535353"/>
              </w:rPr>
              <w:t>Private Marketplace transactions</w:t>
            </w:r>
          </w:p>
        </w:tc>
        <w:tc>
          <w:tcPr>
            <w:tcW w:w="1060" w:type="dxa"/>
            <w:vAlign w:val="bottom"/>
            <w:tcBorders>
              <w:bottom w:val="single" w:sz="8" w:color="EE4921"/>
            </w:tcBorders>
          </w:tcPr>
          <w:p>
            <w:pPr>
              <w:spacing w:after="0"/>
              <w:rPr>
                <w:sz w:val="15"/>
                <w:szCs w:val="15"/>
                <w:color w:val="auto"/>
              </w:rPr>
            </w:pPr>
          </w:p>
        </w:tc>
        <w:tc>
          <w:tcPr>
            <w:tcW w:w="1060" w:type="dxa"/>
            <w:vAlign w:val="bottom"/>
            <w:tcBorders>
              <w:bottom w:val="single" w:sz="8" w:color="EE4921"/>
            </w:tcBorders>
          </w:tcPr>
          <w:p>
            <w:pPr>
              <w:jc w:val="right"/>
              <w:ind w:right="149"/>
              <w:spacing w:after="0"/>
              <w:rPr>
                <w:sz w:val="20"/>
                <w:szCs w:val="20"/>
                <w:color w:val="auto"/>
              </w:rPr>
            </w:pPr>
            <w:r>
              <w:rPr>
                <w:rFonts w:ascii="Times New Roman" w:cs="Times New Roman" w:eastAsia="Times New Roman" w:hAnsi="Times New Roman"/>
                <w:sz w:val="14"/>
                <w:szCs w:val="14"/>
                <w:color w:val="535353"/>
              </w:rPr>
              <w:t>6,187</w:t>
            </w:r>
          </w:p>
        </w:tc>
        <w:tc>
          <w:tcPr>
            <w:tcW w:w="300" w:type="dxa"/>
            <w:vAlign w:val="bottom"/>
            <w:tcBorders>
              <w:bottom w:val="single" w:sz="8" w:color="EE4921"/>
            </w:tcBorders>
          </w:tcPr>
          <w:p>
            <w:pPr>
              <w:spacing w:after="0"/>
              <w:rPr>
                <w:sz w:val="15"/>
                <w:szCs w:val="15"/>
                <w:color w:val="auto"/>
              </w:rPr>
            </w:pPr>
          </w:p>
        </w:tc>
        <w:tc>
          <w:tcPr>
            <w:tcW w:w="92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5,890</w:t>
            </w:r>
          </w:p>
        </w:tc>
      </w:tr>
      <w:tr>
        <w:trPr>
          <w:trHeight w:val="181"/>
        </w:trPr>
        <w:tc>
          <w:tcPr>
            <w:tcW w:w="276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color w:val="535353"/>
              </w:rPr>
              <w:t>Percentage of total Revenue</w:t>
            </w:r>
          </w:p>
        </w:tc>
        <w:tc>
          <w:tcPr>
            <w:tcW w:w="1060" w:type="dxa"/>
            <w:vAlign w:val="bottom"/>
            <w:tcBorders>
              <w:bottom w:val="single" w:sz="8" w:color="EE4921"/>
            </w:tcBorders>
          </w:tcPr>
          <w:p>
            <w:pPr>
              <w:spacing w:after="0"/>
              <w:rPr>
                <w:sz w:val="15"/>
                <w:szCs w:val="15"/>
                <w:color w:val="auto"/>
              </w:rPr>
            </w:pPr>
          </w:p>
        </w:tc>
        <w:tc>
          <w:tcPr>
            <w:tcW w:w="106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2.0 %</w:t>
            </w:r>
          </w:p>
        </w:tc>
        <w:tc>
          <w:tcPr>
            <w:tcW w:w="300" w:type="dxa"/>
            <w:vAlign w:val="bottom"/>
            <w:tcBorders>
              <w:bottom w:val="single" w:sz="8" w:color="EE4921"/>
            </w:tcBorders>
          </w:tcPr>
          <w:p>
            <w:pPr>
              <w:spacing w:after="0"/>
              <w:rPr>
                <w:sz w:val="15"/>
                <w:szCs w:val="15"/>
                <w:color w:val="auto"/>
              </w:rPr>
            </w:pPr>
          </w:p>
        </w:tc>
        <w:tc>
          <w:tcPr>
            <w:tcW w:w="92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2.2 %</w:t>
            </w:r>
          </w:p>
        </w:tc>
      </w:tr>
      <w:tr>
        <w:trPr>
          <w:trHeight w:val="181"/>
        </w:trPr>
        <w:tc>
          <w:tcPr>
            <w:tcW w:w="276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color w:val="535353"/>
              </w:rPr>
              <w:t>Total Revenue</w:t>
            </w:r>
          </w:p>
        </w:tc>
        <w:tc>
          <w:tcPr>
            <w:tcW w:w="1060" w:type="dxa"/>
            <w:vAlign w:val="bottom"/>
            <w:tcBorders>
              <w:bottom w:val="single" w:sz="8" w:color="EE4921"/>
            </w:tcBorders>
          </w:tcPr>
          <w:p>
            <w:pPr>
              <w:jc w:val="right"/>
              <w:ind w:right="9"/>
              <w:spacing w:after="0"/>
              <w:rPr>
                <w:sz w:val="20"/>
                <w:szCs w:val="20"/>
                <w:color w:val="auto"/>
              </w:rPr>
            </w:pPr>
            <w:r>
              <w:rPr>
                <w:rFonts w:ascii="Times New Roman" w:cs="Times New Roman" w:eastAsia="Times New Roman" w:hAnsi="Times New Roman"/>
                <w:sz w:val="14"/>
                <w:szCs w:val="14"/>
                <w:color w:val="535353"/>
              </w:rPr>
              <w:t>$</w:t>
            </w:r>
          </w:p>
        </w:tc>
        <w:tc>
          <w:tcPr>
            <w:tcW w:w="1060" w:type="dxa"/>
            <w:vAlign w:val="bottom"/>
            <w:tcBorders>
              <w:bottom w:val="single" w:sz="8" w:color="EE4921"/>
            </w:tcBorders>
          </w:tcPr>
          <w:p>
            <w:pPr>
              <w:jc w:val="right"/>
              <w:ind w:right="149"/>
              <w:spacing w:after="0"/>
              <w:rPr>
                <w:sz w:val="20"/>
                <w:szCs w:val="20"/>
                <w:color w:val="auto"/>
              </w:rPr>
            </w:pPr>
            <w:r>
              <w:rPr>
                <w:rFonts w:ascii="Times New Roman" w:cs="Times New Roman" w:eastAsia="Times New Roman" w:hAnsi="Times New Roman"/>
                <w:sz w:val="14"/>
                <w:szCs w:val="14"/>
                <w:color w:val="535353"/>
              </w:rPr>
              <w:t>310,004</w:t>
            </w:r>
          </w:p>
        </w:tc>
        <w:tc>
          <w:tcPr>
            <w:tcW w:w="30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w:t>
            </w:r>
          </w:p>
        </w:tc>
        <w:tc>
          <w:tcPr>
            <w:tcW w:w="92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264,309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F36D4D"/>
        </w:rPr>
        <w:t>10</w:t>
      </w:r>
    </w:p>
    <w:p>
      <w:pPr>
        <w:sectPr>
          <w:pgSz w:w="11900" w:h="16838" w:orient="portrait"/>
          <w:cols w:equalWidth="0" w:num="1">
            <w:col w:w="9840"/>
          </w:cols>
          <w:pgMar w:left="1440" w:top="1006" w:right="619" w:bottom="1440" w:gutter="0" w:footer="0" w:header="0"/>
        </w:sectPr>
      </w:pPr>
    </w:p>
    <w:bookmarkStart w:id="23" w:name="page24"/>
    <w:bookmarkEnd w:id="23"/>
    <w:p>
      <w:pPr>
        <w:ind w:left="1665"/>
        <w:spacing w:after="0"/>
        <w:rPr>
          <w:sz w:val="20"/>
          <w:szCs w:val="20"/>
          <w:color w:val="auto"/>
        </w:rPr>
      </w:pPr>
      <w:r>
        <w:rPr>
          <w:rFonts w:ascii="Times New Roman" w:cs="Times New Roman" w:eastAsia="Times New Roman" w:hAnsi="Times New Roman"/>
          <w:sz w:val="38"/>
          <w:szCs w:val="38"/>
          <w:b w:val="1"/>
          <w:bCs w:val="1"/>
          <w:color w:val="535353"/>
        </w:rPr>
        <w:drawing>
          <wp:anchor simplePos="0" relativeHeight="251657728" behindDoc="1" locked="0" layoutInCell="0" allowOverlap="1">
            <wp:simplePos x="0" y="0"/>
            <wp:positionH relativeFrom="page">
              <wp:posOffset>7101205</wp:posOffset>
            </wp:positionH>
            <wp:positionV relativeFrom="page">
              <wp:posOffset>88900</wp:posOffset>
            </wp:positionV>
            <wp:extent cx="247650" cy="210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47650" cy="210185"/>
                    </a:xfrm>
                    <a:prstGeom prst="rect">
                      <a:avLst/>
                    </a:prstGeom>
                    <a:noFill/>
                  </pic:spPr>
                </pic:pic>
              </a:graphicData>
            </a:graphic>
          </wp:anchor>
        </w:drawing>
        <w:t>Consolidated Results Excluding Under-65 Health</w:t>
      </w:r>
    </w:p>
    <w:p>
      <w:pPr>
        <w:spacing w:after="0" w:line="213" w:lineRule="exact"/>
        <w:rPr>
          <w:sz w:val="20"/>
          <w:szCs w:val="20"/>
          <w:color w:val="auto"/>
        </w:rPr>
      </w:pPr>
    </w:p>
    <w:p>
      <w:pPr>
        <w:ind w:left="5" w:right="300"/>
        <w:spacing w:after="0" w:line="235" w:lineRule="auto"/>
        <w:rPr>
          <w:sz w:val="20"/>
          <w:szCs w:val="20"/>
          <w:color w:val="auto"/>
        </w:rPr>
      </w:pPr>
      <w:r>
        <w:rPr>
          <w:rFonts w:ascii="Times New Roman" w:cs="Times New Roman" w:eastAsia="Times New Roman" w:hAnsi="Times New Roman"/>
          <w:sz w:val="17"/>
          <w:szCs w:val="17"/>
          <w:color w:val="535353"/>
        </w:rPr>
        <w:t>The tables below presents Revenue and Contribution</w:t>
      </w:r>
      <w:r>
        <w:rPr>
          <w:rFonts w:ascii="Times New Roman" w:cs="Times New Roman" w:eastAsia="Times New Roman" w:hAnsi="Times New Roman"/>
          <w:sz w:val="22"/>
          <w:szCs w:val="22"/>
          <w:color w:val="535353"/>
          <w:vertAlign w:val="superscript"/>
        </w:rPr>
        <w:t>1</w:t>
      </w:r>
      <w:r>
        <w:rPr>
          <w:rFonts w:ascii="Times New Roman" w:cs="Times New Roman" w:eastAsia="Times New Roman" w:hAnsi="Times New Roman"/>
          <w:sz w:val="17"/>
          <w:szCs w:val="17"/>
          <w:color w:val="535353"/>
        </w:rPr>
        <w:t xml:space="preserve"> (in each case as reported and excluding the results of Under-65 Health), and Adjusted EBITDA</w:t>
      </w:r>
      <w:r>
        <w:rPr>
          <w:rFonts w:ascii="Times New Roman" w:cs="Times New Roman" w:eastAsia="Times New Roman" w:hAnsi="Times New Roman"/>
          <w:sz w:val="22"/>
          <w:szCs w:val="22"/>
          <w:color w:val="535353"/>
          <w:vertAlign w:val="superscript"/>
        </w:rPr>
        <w:t>2</w:t>
      </w:r>
      <w:r>
        <w:rPr>
          <w:rFonts w:ascii="Times New Roman" w:cs="Times New Roman" w:eastAsia="Times New Roman" w:hAnsi="Times New Roman"/>
          <w:sz w:val="17"/>
          <w:szCs w:val="17"/>
          <w:color w:val="535353"/>
        </w:rPr>
        <w:t xml:space="preserve"> (as reported and excluding Contribution of Under-65 Health).</w:t>
      </w:r>
    </w:p>
    <w:p>
      <w:pPr>
        <w:spacing w:after="0" w:line="218" w:lineRule="exact"/>
        <w:rPr>
          <w:sz w:val="20"/>
          <w:szCs w:val="20"/>
          <w:color w:val="auto"/>
        </w:rPr>
      </w:pPr>
    </w:p>
    <w:tbl>
      <w:tblPr>
        <w:tblLayout w:type="fixed"/>
        <w:tblInd w:w="885"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535353"/>
              </w:rPr>
              <w:t>Q1 2025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535353"/>
              </w:rPr>
              <w:t>Q1 2026</w:t>
            </w:r>
          </w:p>
        </w:tc>
        <w:tc>
          <w:tcPr>
            <w:tcW w:w="78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535353"/>
              </w:rPr>
              <w:t>Ex. U65 YoY Change</w:t>
            </w:r>
          </w:p>
        </w:tc>
      </w:tr>
      <w:tr>
        <w:trPr>
          <w:trHeight w:val="192"/>
        </w:trPr>
        <w:tc>
          <w:tcPr>
            <w:tcW w:w="2340" w:type="dxa"/>
            <w:vAlign w:val="bottom"/>
            <w:tcBorders>
              <w:bottom w:val="single" w:sz="8" w:color="EE4921"/>
            </w:tcBorders>
          </w:tcPr>
          <w:p>
            <w:pPr>
              <w:ind w:left="20"/>
              <w:spacing w:after="0"/>
              <w:rPr>
                <w:sz w:val="20"/>
                <w:szCs w:val="20"/>
                <w:color w:val="auto"/>
              </w:rPr>
            </w:pPr>
            <w:r>
              <w:rPr>
                <w:rFonts w:ascii="Times New Roman" w:cs="Times New Roman" w:eastAsia="Times New Roman" w:hAnsi="Times New Roman"/>
                <w:sz w:val="14"/>
                <w:szCs w:val="14"/>
                <w:b w:val="1"/>
                <w:bCs w:val="1"/>
                <w:color w:val="535353"/>
              </w:rPr>
              <w:t>$ in millions</w:t>
            </w:r>
          </w:p>
        </w:tc>
        <w:tc>
          <w:tcPr>
            <w:tcW w:w="1680" w:type="dxa"/>
            <w:vAlign w:val="bottom"/>
            <w:tcBorders>
              <w:bottom w:val="single" w:sz="8" w:color="EE4921"/>
            </w:tcBorders>
          </w:tcPr>
          <w:p>
            <w:pPr>
              <w:ind w:left="1100"/>
              <w:spacing w:after="0"/>
              <w:rPr>
                <w:sz w:val="20"/>
                <w:szCs w:val="20"/>
                <w:color w:val="auto"/>
              </w:rPr>
            </w:pPr>
            <w:r>
              <w:rPr>
                <w:rFonts w:ascii="Times New Roman" w:cs="Times New Roman" w:eastAsia="Times New Roman" w:hAnsi="Times New Roman"/>
                <w:sz w:val="14"/>
                <w:szCs w:val="14"/>
                <w:b w:val="1"/>
                <w:bCs w:val="1"/>
                <w:color w:val="535353"/>
              </w:rPr>
              <w:t>Actual</w:t>
            </w:r>
          </w:p>
        </w:tc>
        <w:tc>
          <w:tcPr>
            <w:tcW w:w="800" w:type="dxa"/>
            <w:vAlign w:val="bottom"/>
            <w:tcBorders>
              <w:bottom w:val="single" w:sz="8" w:color="EE4921"/>
            </w:tcBorders>
          </w:tcPr>
          <w:p>
            <w:pPr>
              <w:jc w:val="center"/>
              <w:spacing w:after="0"/>
              <w:rPr>
                <w:sz w:val="20"/>
                <w:szCs w:val="20"/>
                <w:color w:val="auto"/>
              </w:rPr>
            </w:pPr>
            <w:r>
              <w:rPr>
                <w:rFonts w:ascii="Times New Roman" w:cs="Times New Roman" w:eastAsia="Times New Roman" w:hAnsi="Times New Roman"/>
                <w:sz w:val="14"/>
                <w:szCs w:val="14"/>
                <w:b w:val="1"/>
                <w:bCs w:val="1"/>
                <w:color w:val="535353"/>
                <w:w w:val="99"/>
              </w:rPr>
              <w:t>U65</w:t>
            </w:r>
          </w:p>
        </w:tc>
        <w:tc>
          <w:tcPr>
            <w:tcW w:w="780" w:type="dxa"/>
            <w:vAlign w:val="bottom"/>
            <w:tcBorders>
              <w:bottom w:val="single" w:sz="8" w:color="EE4921"/>
            </w:tcBorders>
          </w:tcPr>
          <w:p>
            <w:pPr>
              <w:ind w:left="140"/>
              <w:spacing w:after="0"/>
              <w:rPr>
                <w:sz w:val="20"/>
                <w:szCs w:val="20"/>
                <w:color w:val="auto"/>
              </w:rPr>
            </w:pPr>
            <w:r>
              <w:rPr>
                <w:rFonts w:ascii="Times New Roman" w:cs="Times New Roman" w:eastAsia="Times New Roman" w:hAnsi="Times New Roman"/>
                <w:sz w:val="14"/>
                <w:szCs w:val="14"/>
                <w:b w:val="1"/>
                <w:bCs w:val="1"/>
                <w:color w:val="535353"/>
              </w:rPr>
              <w:t>Ex. U65</w:t>
            </w:r>
          </w:p>
        </w:tc>
        <w:tc>
          <w:tcPr>
            <w:tcW w:w="740" w:type="dxa"/>
            <w:vAlign w:val="bottom"/>
            <w:tcBorders>
              <w:bottom w:val="single" w:sz="8" w:color="EE4921"/>
            </w:tcBorders>
          </w:tcPr>
          <w:p>
            <w:pPr>
              <w:ind w:left="180"/>
              <w:spacing w:after="0"/>
              <w:rPr>
                <w:sz w:val="20"/>
                <w:szCs w:val="20"/>
                <w:color w:val="auto"/>
              </w:rPr>
            </w:pPr>
            <w:r>
              <w:rPr>
                <w:rFonts w:ascii="Times New Roman" w:cs="Times New Roman" w:eastAsia="Times New Roman" w:hAnsi="Times New Roman"/>
                <w:sz w:val="14"/>
                <w:szCs w:val="14"/>
                <w:b w:val="1"/>
                <w:bCs w:val="1"/>
                <w:color w:val="535353"/>
              </w:rPr>
              <w:t>Actual</w:t>
            </w:r>
          </w:p>
        </w:tc>
        <w:tc>
          <w:tcPr>
            <w:tcW w:w="800" w:type="dxa"/>
            <w:vAlign w:val="bottom"/>
            <w:tcBorders>
              <w:bottom w:val="single" w:sz="8" w:color="EE4921"/>
            </w:tcBorders>
          </w:tcPr>
          <w:p>
            <w:pPr>
              <w:jc w:val="center"/>
              <w:spacing w:after="0"/>
              <w:rPr>
                <w:sz w:val="20"/>
                <w:szCs w:val="20"/>
                <w:color w:val="auto"/>
              </w:rPr>
            </w:pPr>
            <w:r>
              <w:rPr>
                <w:rFonts w:ascii="Times New Roman" w:cs="Times New Roman" w:eastAsia="Times New Roman" w:hAnsi="Times New Roman"/>
                <w:sz w:val="14"/>
                <w:szCs w:val="14"/>
                <w:b w:val="1"/>
                <w:bCs w:val="1"/>
                <w:color w:val="535353"/>
                <w:w w:val="99"/>
              </w:rPr>
              <w:t>U65</w:t>
            </w:r>
          </w:p>
        </w:tc>
        <w:tc>
          <w:tcPr>
            <w:tcW w:w="780" w:type="dxa"/>
            <w:vAlign w:val="bottom"/>
            <w:tcBorders>
              <w:bottom w:val="single" w:sz="8" w:color="EE4921"/>
            </w:tcBorders>
          </w:tcPr>
          <w:p>
            <w:pPr>
              <w:ind w:left="160"/>
              <w:spacing w:after="0"/>
              <w:rPr>
                <w:sz w:val="20"/>
                <w:szCs w:val="20"/>
                <w:color w:val="auto"/>
              </w:rPr>
            </w:pPr>
            <w:r>
              <w:rPr>
                <w:rFonts w:ascii="Times New Roman" w:cs="Times New Roman" w:eastAsia="Times New Roman" w:hAnsi="Times New Roman"/>
                <w:sz w:val="14"/>
                <w:szCs w:val="14"/>
                <w:b w:val="1"/>
                <w:bCs w:val="1"/>
                <w:color w:val="535353"/>
              </w:rPr>
              <w:t>Ex. U65</w:t>
            </w:r>
          </w:p>
        </w:tc>
        <w:tc>
          <w:tcPr>
            <w:tcW w:w="840" w:type="dxa"/>
            <w:vAlign w:val="bottom"/>
            <w:tcBorders>
              <w:bottom w:val="single" w:sz="8" w:color="EE4921"/>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535353"/>
              </w:rPr>
              <w:t>$</w:t>
            </w:r>
          </w:p>
        </w:tc>
        <w:tc>
          <w:tcPr>
            <w:tcW w:w="720" w:type="dxa"/>
            <w:vAlign w:val="bottom"/>
            <w:tcBorders>
              <w:bottom w:val="single" w:sz="8" w:color="EE4921"/>
            </w:tcBorders>
          </w:tcPr>
          <w:p>
            <w:pPr>
              <w:ind w:left="260"/>
              <w:spacing w:after="0"/>
              <w:rPr>
                <w:sz w:val="20"/>
                <w:szCs w:val="20"/>
                <w:color w:val="auto"/>
              </w:rPr>
            </w:pPr>
            <w:r>
              <w:rPr>
                <w:rFonts w:ascii="Times New Roman" w:cs="Times New Roman" w:eastAsia="Times New Roman" w:hAnsi="Times New Roman"/>
                <w:sz w:val="14"/>
                <w:szCs w:val="14"/>
                <w:b w:val="1"/>
                <w:bCs w:val="1"/>
                <w:color w:val="535353"/>
              </w:rPr>
              <w:t>%</w:t>
            </w:r>
          </w:p>
        </w:tc>
      </w:tr>
      <w:tr>
        <w:trPr>
          <w:trHeight w:val="181"/>
        </w:trPr>
        <w:tc>
          <w:tcPr>
            <w:tcW w:w="2340" w:type="dxa"/>
            <w:vAlign w:val="bottom"/>
            <w:tcBorders>
              <w:bottom w:val="single" w:sz="8" w:color="EE4921"/>
            </w:tcBorders>
          </w:tcPr>
          <w:p>
            <w:pPr>
              <w:ind w:left="160"/>
              <w:spacing w:after="0"/>
              <w:rPr>
                <w:sz w:val="20"/>
                <w:szCs w:val="20"/>
                <w:color w:val="auto"/>
              </w:rPr>
            </w:pPr>
            <w:r>
              <w:rPr>
                <w:rFonts w:ascii="Times New Roman" w:cs="Times New Roman" w:eastAsia="Times New Roman" w:hAnsi="Times New Roman"/>
                <w:sz w:val="14"/>
                <w:szCs w:val="14"/>
                <w:color w:val="535353"/>
              </w:rPr>
              <w:t>Revenue</w:t>
            </w:r>
          </w:p>
        </w:tc>
        <w:tc>
          <w:tcPr>
            <w:tcW w:w="1680" w:type="dxa"/>
            <w:vAlign w:val="bottom"/>
            <w:tcBorders>
              <w:bottom w:val="single" w:sz="8" w:color="EE4921"/>
            </w:tcBorders>
          </w:tcPr>
          <w:p>
            <w:pPr>
              <w:jc w:val="center"/>
              <w:ind w:left="1009"/>
              <w:spacing w:after="0"/>
              <w:rPr>
                <w:sz w:val="20"/>
                <w:szCs w:val="20"/>
                <w:color w:val="auto"/>
              </w:rPr>
            </w:pPr>
            <w:r>
              <w:rPr>
                <w:rFonts w:ascii="Times New Roman" w:cs="Times New Roman" w:eastAsia="Times New Roman" w:hAnsi="Times New Roman"/>
                <w:sz w:val="14"/>
                <w:szCs w:val="14"/>
                <w:color w:val="535353"/>
                <w:w w:val="99"/>
              </w:rPr>
              <w:t>$264</w:t>
            </w:r>
          </w:p>
        </w:tc>
        <w:tc>
          <w:tcPr>
            <w:tcW w:w="800" w:type="dxa"/>
            <w:vAlign w:val="bottom"/>
            <w:tcBorders>
              <w:bottom w:val="single" w:sz="8" w:color="EE4921"/>
            </w:tcBorders>
          </w:tcPr>
          <w:p>
            <w:pPr>
              <w:jc w:val="center"/>
              <w:ind w:left="69"/>
              <w:spacing w:after="0"/>
              <w:rPr>
                <w:sz w:val="20"/>
                <w:szCs w:val="20"/>
                <w:color w:val="auto"/>
              </w:rPr>
            </w:pPr>
            <w:r>
              <w:rPr>
                <w:rFonts w:ascii="Times New Roman" w:cs="Times New Roman" w:eastAsia="Times New Roman" w:hAnsi="Times New Roman"/>
                <w:sz w:val="14"/>
                <w:szCs w:val="14"/>
                <w:color w:val="535353"/>
              </w:rPr>
              <w:t>$26</w:t>
            </w:r>
          </w:p>
        </w:tc>
        <w:tc>
          <w:tcPr>
            <w:tcW w:w="780" w:type="dxa"/>
            <w:vAlign w:val="bottom"/>
            <w:tcBorders>
              <w:bottom w:val="single" w:sz="8" w:color="EE4921"/>
            </w:tcBorders>
          </w:tcPr>
          <w:p>
            <w:pPr>
              <w:jc w:val="center"/>
              <w:ind w:left="29"/>
              <w:spacing w:after="0"/>
              <w:rPr>
                <w:sz w:val="20"/>
                <w:szCs w:val="20"/>
                <w:color w:val="auto"/>
              </w:rPr>
            </w:pPr>
            <w:r>
              <w:rPr>
                <w:rFonts w:ascii="Times New Roman" w:cs="Times New Roman" w:eastAsia="Times New Roman" w:hAnsi="Times New Roman"/>
                <w:sz w:val="14"/>
                <w:szCs w:val="14"/>
                <w:color w:val="535353"/>
                <w:w w:val="99"/>
              </w:rPr>
              <w:t>$238</w:t>
            </w:r>
          </w:p>
        </w:tc>
        <w:tc>
          <w:tcPr>
            <w:tcW w:w="740" w:type="dxa"/>
            <w:vAlign w:val="bottom"/>
            <w:tcBorders>
              <w:bottom w:val="single" w:sz="8" w:color="EE4921"/>
            </w:tcBorders>
          </w:tcPr>
          <w:p>
            <w:pPr>
              <w:jc w:val="center"/>
              <w:ind w:left="69"/>
              <w:spacing w:after="0"/>
              <w:rPr>
                <w:sz w:val="20"/>
                <w:szCs w:val="20"/>
                <w:color w:val="auto"/>
              </w:rPr>
            </w:pPr>
            <w:r>
              <w:rPr>
                <w:rFonts w:ascii="Times New Roman" w:cs="Times New Roman" w:eastAsia="Times New Roman" w:hAnsi="Times New Roman"/>
                <w:sz w:val="14"/>
                <w:szCs w:val="14"/>
                <w:color w:val="535353"/>
                <w:w w:val="99"/>
              </w:rPr>
              <w:t>$310</w:t>
            </w:r>
          </w:p>
        </w:tc>
        <w:tc>
          <w:tcPr>
            <w:tcW w:w="800" w:type="dxa"/>
            <w:vAlign w:val="bottom"/>
            <w:tcBorders>
              <w:bottom w:val="single" w:sz="8" w:color="EE4921"/>
            </w:tcBorders>
          </w:tcPr>
          <w:p>
            <w:pPr>
              <w:jc w:val="right"/>
              <w:ind w:right="169"/>
              <w:spacing w:after="0"/>
              <w:rPr>
                <w:sz w:val="20"/>
                <w:szCs w:val="20"/>
                <w:color w:val="auto"/>
              </w:rPr>
            </w:pPr>
            <w:r>
              <w:rPr>
                <w:rFonts w:ascii="Times New Roman" w:cs="Times New Roman" w:eastAsia="Times New Roman" w:hAnsi="Times New Roman"/>
                <w:sz w:val="14"/>
                <w:szCs w:val="14"/>
                <w:color w:val="535353"/>
              </w:rPr>
              <w:t>$4</w:t>
            </w:r>
          </w:p>
        </w:tc>
        <w:tc>
          <w:tcPr>
            <w:tcW w:w="780" w:type="dxa"/>
            <w:vAlign w:val="bottom"/>
            <w:tcBorders>
              <w:bottom w:val="single" w:sz="8" w:color="EE4921"/>
            </w:tcBorders>
          </w:tcPr>
          <w:p>
            <w:pPr>
              <w:jc w:val="center"/>
              <w:ind w:left="69"/>
              <w:spacing w:after="0"/>
              <w:rPr>
                <w:sz w:val="20"/>
                <w:szCs w:val="20"/>
                <w:color w:val="auto"/>
              </w:rPr>
            </w:pPr>
            <w:r>
              <w:rPr>
                <w:rFonts w:ascii="Times New Roman" w:cs="Times New Roman" w:eastAsia="Times New Roman" w:hAnsi="Times New Roman"/>
                <w:sz w:val="14"/>
                <w:szCs w:val="14"/>
                <w:color w:val="535353"/>
                <w:w w:val="99"/>
              </w:rPr>
              <w:t>$306</w:t>
            </w:r>
          </w:p>
        </w:tc>
        <w:tc>
          <w:tcPr>
            <w:tcW w:w="840" w:type="dxa"/>
            <w:vAlign w:val="bottom"/>
            <w:tcBorders>
              <w:bottom w:val="single" w:sz="8" w:color="EE4921"/>
            </w:tcBorders>
          </w:tcPr>
          <w:p>
            <w:pPr>
              <w:jc w:val="center"/>
              <w:ind w:left="29"/>
              <w:spacing w:after="0"/>
              <w:rPr>
                <w:sz w:val="20"/>
                <w:szCs w:val="20"/>
                <w:color w:val="auto"/>
              </w:rPr>
            </w:pPr>
            <w:r>
              <w:rPr>
                <w:rFonts w:ascii="Times New Roman" w:cs="Times New Roman" w:eastAsia="Times New Roman" w:hAnsi="Times New Roman"/>
                <w:sz w:val="14"/>
                <w:szCs w:val="14"/>
                <w:color w:val="535353"/>
              </w:rPr>
              <w:t>$68</w:t>
            </w:r>
          </w:p>
        </w:tc>
        <w:tc>
          <w:tcPr>
            <w:tcW w:w="720" w:type="dxa"/>
            <w:vAlign w:val="bottom"/>
            <w:tcBorders>
              <w:bottom w:val="single" w:sz="8" w:color="EE4921"/>
            </w:tcBorders>
          </w:tcPr>
          <w:p>
            <w:pPr>
              <w:ind w:left="280"/>
              <w:spacing w:after="0"/>
              <w:rPr>
                <w:sz w:val="20"/>
                <w:szCs w:val="20"/>
                <w:color w:val="auto"/>
              </w:rPr>
            </w:pPr>
            <w:r>
              <w:rPr>
                <w:rFonts w:ascii="Times New Roman" w:cs="Times New Roman" w:eastAsia="Times New Roman" w:hAnsi="Times New Roman"/>
                <w:sz w:val="14"/>
                <w:szCs w:val="14"/>
                <w:color w:val="535353"/>
              </w:rPr>
              <w:t>28%</w:t>
            </w:r>
          </w:p>
        </w:tc>
      </w:tr>
      <w:tr>
        <w:trPr>
          <w:trHeight w:val="181"/>
        </w:trPr>
        <w:tc>
          <w:tcPr>
            <w:tcW w:w="2340" w:type="dxa"/>
            <w:vAlign w:val="bottom"/>
            <w:tcBorders>
              <w:bottom w:val="single" w:sz="8" w:color="EE4921"/>
            </w:tcBorders>
          </w:tcPr>
          <w:p>
            <w:pPr>
              <w:ind w:left="160"/>
              <w:spacing w:after="0"/>
              <w:rPr>
                <w:sz w:val="20"/>
                <w:szCs w:val="20"/>
                <w:color w:val="auto"/>
              </w:rPr>
            </w:pPr>
            <w:r>
              <w:rPr>
                <w:rFonts w:ascii="Times New Roman" w:cs="Times New Roman" w:eastAsia="Times New Roman" w:hAnsi="Times New Roman"/>
                <w:sz w:val="14"/>
                <w:szCs w:val="14"/>
                <w:color w:val="535353"/>
              </w:rPr>
              <w:t>Contribution</w:t>
            </w:r>
          </w:p>
        </w:tc>
        <w:tc>
          <w:tcPr>
            <w:tcW w:w="1680" w:type="dxa"/>
            <w:vAlign w:val="bottom"/>
            <w:tcBorders>
              <w:bottom w:val="single" w:sz="8" w:color="EE4921"/>
            </w:tcBorders>
          </w:tcPr>
          <w:p>
            <w:pPr>
              <w:jc w:val="center"/>
              <w:ind w:left="989"/>
              <w:spacing w:after="0"/>
              <w:rPr>
                <w:sz w:val="20"/>
                <w:szCs w:val="20"/>
                <w:color w:val="auto"/>
              </w:rPr>
            </w:pPr>
            <w:r>
              <w:rPr>
                <w:rFonts w:ascii="Times New Roman" w:cs="Times New Roman" w:eastAsia="Times New Roman" w:hAnsi="Times New Roman"/>
                <w:sz w:val="14"/>
                <w:szCs w:val="14"/>
                <w:color w:val="535353"/>
              </w:rPr>
              <w:t>$44</w:t>
            </w:r>
          </w:p>
        </w:tc>
        <w:tc>
          <w:tcPr>
            <w:tcW w:w="800" w:type="dxa"/>
            <w:vAlign w:val="bottom"/>
            <w:tcBorders>
              <w:bottom w:val="single" w:sz="8" w:color="EE4921"/>
            </w:tcBorders>
          </w:tcPr>
          <w:p>
            <w:pPr>
              <w:jc w:val="center"/>
              <w:ind w:left="69"/>
              <w:spacing w:after="0"/>
              <w:rPr>
                <w:sz w:val="20"/>
                <w:szCs w:val="20"/>
                <w:color w:val="auto"/>
              </w:rPr>
            </w:pPr>
            <w:r>
              <w:rPr>
                <w:rFonts w:ascii="Times New Roman" w:cs="Times New Roman" w:eastAsia="Times New Roman" w:hAnsi="Times New Roman"/>
                <w:sz w:val="14"/>
                <w:szCs w:val="14"/>
                <w:color w:val="535353"/>
                <w:w w:val="99"/>
              </w:rPr>
              <w:t>$6</w:t>
            </w:r>
          </w:p>
        </w:tc>
        <w:tc>
          <w:tcPr>
            <w:tcW w:w="780" w:type="dxa"/>
            <w:vAlign w:val="bottom"/>
            <w:tcBorders>
              <w:bottom w:val="single" w:sz="8" w:color="EE4921"/>
            </w:tcBorders>
          </w:tcPr>
          <w:p>
            <w:pPr>
              <w:jc w:val="center"/>
              <w:ind w:left="49"/>
              <w:spacing w:after="0"/>
              <w:rPr>
                <w:sz w:val="20"/>
                <w:szCs w:val="20"/>
                <w:color w:val="auto"/>
              </w:rPr>
            </w:pPr>
            <w:r>
              <w:rPr>
                <w:rFonts w:ascii="Times New Roman" w:cs="Times New Roman" w:eastAsia="Times New Roman" w:hAnsi="Times New Roman"/>
                <w:sz w:val="14"/>
                <w:szCs w:val="14"/>
                <w:color w:val="535353"/>
              </w:rPr>
              <w:t>$38</w:t>
            </w:r>
          </w:p>
        </w:tc>
        <w:tc>
          <w:tcPr>
            <w:tcW w:w="740" w:type="dxa"/>
            <w:vAlign w:val="bottom"/>
            <w:tcBorders>
              <w:bottom w:val="single" w:sz="8" w:color="EE4921"/>
            </w:tcBorders>
          </w:tcPr>
          <w:p>
            <w:pPr>
              <w:jc w:val="center"/>
              <w:ind w:left="89"/>
              <w:spacing w:after="0"/>
              <w:rPr>
                <w:sz w:val="20"/>
                <w:szCs w:val="20"/>
                <w:color w:val="auto"/>
              </w:rPr>
            </w:pPr>
            <w:r>
              <w:rPr>
                <w:rFonts w:ascii="Times New Roman" w:cs="Times New Roman" w:eastAsia="Times New Roman" w:hAnsi="Times New Roman"/>
                <w:sz w:val="14"/>
                <w:szCs w:val="14"/>
                <w:color w:val="535353"/>
              </w:rPr>
              <w:t>$49</w:t>
            </w:r>
          </w:p>
        </w:tc>
        <w:tc>
          <w:tcPr>
            <w:tcW w:w="800" w:type="dxa"/>
            <w:vAlign w:val="bottom"/>
            <w:tcBorders>
              <w:bottom w:val="single" w:sz="8" w:color="EE4921"/>
            </w:tcBorders>
          </w:tcPr>
          <w:p>
            <w:pPr>
              <w:jc w:val="right"/>
              <w:ind w:right="169"/>
              <w:spacing w:after="0"/>
              <w:rPr>
                <w:sz w:val="20"/>
                <w:szCs w:val="20"/>
                <w:color w:val="auto"/>
              </w:rPr>
            </w:pPr>
            <w:r>
              <w:rPr>
                <w:rFonts w:ascii="Times New Roman" w:cs="Times New Roman" w:eastAsia="Times New Roman" w:hAnsi="Times New Roman"/>
                <w:sz w:val="14"/>
                <w:szCs w:val="14"/>
                <w:color w:val="535353"/>
              </w:rPr>
              <w:t>$1</w:t>
            </w:r>
          </w:p>
        </w:tc>
        <w:tc>
          <w:tcPr>
            <w:tcW w:w="780" w:type="dxa"/>
            <w:vAlign w:val="bottom"/>
            <w:tcBorders>
              <w:bottom w:val="single" w:sz="8" w:color="EE4921"/>
            </w:tcBorders>
          </w:tcPr>
          <w:p>
            <w:pPr>
              <w:jc w:val="center"/>
              <w:ind w:left="89"/>
              <w:spacing w:after="0"/>
              <w:rPr>
                <w:sz w:val="20"/>
                <w:szCs w:val="20"/>
                <w:color w:val="auto"/>
              </w:rPr>
            </w:pPr>
            <w:r>
              <w:rPr>
                <w:rFonts w:ascii="Times New Roman" w:cs="Times New Roman" w:eastAsia="Times New Roman" w:hAnsi="Times New Roman"/>
                <w:sz w:val="14"/>
                <w:szCs w:val="14"/>
                <w:color w:val="535353"/>
              </w:rPr>
              <w:t>$48</w:t>
            </w:r>
          </w:p>
        </w:tc>
        <w:tc>
          <w:tcPr>
            <w:tcW w:w="840" w:type="dxa"/>
            <w:vAlign w:val="bottom"/>
            <w:tcBorders>
              <w:bottom w:val="single" w:sz="8" w:color="EE4921"/>
            </w:tcBorders>
          </w:tcPr>
          <w:p>
            <w:pPr>
              <w:jc w:val="center"/>
              <w:ind w:left="29"/>
              <w:spacing w:after="0"/>
              <w:rPr>
                <w:sz w:val="20"/>
                <w:szCs w:val="20"/>
                <w:color w:val="auto"/>
              </w:rPr>
            </w:pPr>
            <w:r>
              <w:rPr>
                <w:rFonts w:ascii="Times New Roman" w:cs="Times New Roman" w:eastAsia="Times New Roman" w:hAnsi="Times New Roman"/>
                <w:sz w:val="14"/>
                <w:szCs w:val="14"/>
                <w:color w:val="535353"/>
                <w:w w:val="99"/>
              </w:rPr>
              <w:t>$9</w:t>
            </w:r>
          </w:p>
        </w:tc>
        <w:tc>
          <w:tcPr>
            <w:tcW w:w="720" w:type="dxa"/>
            <w:vAlign w:val="bottom"/>
            <w:tcBorders>
              <w:bottom w:val="single" w:sz="8" w:color="EE4921"/>
            </w:tcBorders>
          </w:tcPr>
          <w:p>
            <w:pPr>
              <w:ind w:left="280"/>
              <w:spacing w:after="0"/>
              <w:rPr>
                <w:sz w:val="20"/>
                <w:szCs w:val="20"/>
                <w:color w:val="auto"/>
              </w:rPr>
            </w:pPr>
            <w:r>
              <w:rPr>
                <w:rFonts w:ascii="Times New Roman" w:cs="Times New Roman" w:eastAsia="Times New Roman" w:hAnsi="Times New Roman"/>
                <w:sz w:val="14"/>
                <w:szCs w:val="14"/>
                <w:color w:val="535353"/>
              </w:rPr>
              <w:t>25%</w:t>
            </w:r>
          </w:p>
        </w:tc>
      </w:tr>
      <w:tr>
        <w:trPr>
          <w:trHeight w:val="181"/>
        </w:trPr>
        <w:tc>
          <w:tcPr>
            <w:tcW w:w="2340" w:type="dxa"/>
            <w:vAlign w:val="bottom"/>
            <w:tcBorders>
              <w:bottom w:val="single" w:sz="8" w:color="EE4921"/>
            </w:tcBorders>
          </w:tcPr>
          <w:p>
            <w:pPr>
              <w:ind w:left="160"/>
              <w:spacing w:after="0"/>
              <w:rPr>
                <w:sz w:val="20"/>
                <w:szCs w:val="20"/>
                <w:color w:val="auto"/>
              </w:rPr>
            </w:pPr>
            <w:r>
              <w:rPr>
                <w:rFonts w:ascii="Times New Roman" w:cs="Times New Roman" w:eastAsia="Times New Roman" w:hAnsi="Times New Roman"/>
                <w:sz w:val="14"/>
                <w:szCs w:val="14"/>
                <w:color w:val="535353"/>
              </w:rPr>
              <w:t>Adjusted EBITDA</w:t>
            </w:r>
          </w:p>
        </w:tc>
        <w:tc>
          <w:tcPr>
            <w:tcW w:w="1680" w:type="dxa"/>
            <w:vAlign w:val="bottom"/>
            <w:tcBorders>
              <w:bottom w:val="single" w:sz="8" w:color="EE4921"/>
            </w:tcBorders>
          </w:tcPr>
          <w:p>
            <w:pPr>
              <w:jc w:val="center"/>
              <w:ind w:left="989"/>
              <w:spacing w:after="0"/>
              <w:rPr>
                <w:sz w:val="20"/>
                <w:szCs w:val="20"/>
                <w:color w:val="auto"/>
              </w:rPr>
            </w:pPr>
            <w:r>
              <w:rPr>
                <w:rFonts w:ascii="Times New Roman" w:cs="Times New Roman" w:eastAsia="Times New Roman" w:hAnsi="Times New Roman"/>
                <w:sz w:val="14"/>
                <w:szCs w:val="14"/>
                <w:color w:val="535353"/>
              </w:rPr>
              <w:t>$29</w:t>
            </w:r>
          </w:p>
        </w:tc>
        <w:tc>
          <w:tcPr>
            <w:tcW w:w="800" w:type="dxa"/>
            <w:vAlign w:val="bottom"/>
            <w:tcBorders>
              <w:bottom w:val="single" w:sz="8" w:color="EE4921"/>
            </w:tcBorders>
          </w:tcPr>
          <w:p>
            <w:pPr>
              <w:jc w:val="center"/>
              <w:ind w:left="69"/>
              <w:spacing w:after="0"/>
              <w:rPr>
                <w:sz w:val="20"/>
                <w:szCs w:val="20"/>
                <w:color w:val="auto"/>
              </w:rPr>
            </w:pPr>
            <w:r>
              <w:rPr>
                <w:rFonts w:ascii="Times New Roman" w:cs="Times New Roman" w:eastAsia="Times New Roman" w:hAnsi="Times New Roman"/>
                <w:sz w:val="14"/>
                <w:szCs w:val="14"/>
                <w:color w:val="535353"/>
                <w:w w:val="99"/>
              </w:rPr>
              <w:t>$6</w:t>
            </w:r>
          </w:p>
        </w:tc>
        <w:tc>
          <w:tcPr>
            <w:tcW w:w="780" w:type="dxa"/>
            <w:vAlign w:val="bottom"/>
            <w:tcBorders>
              <w:bottom w:val="single" w:sz="8" w:color="EE4921"/>
            </w:tcBorders>
          </w:tcPr>
          <w:p>
            <w:pPr>
              <w:jc w:val="center"/>
              <w:ind w:left="49"/>
              <w:spacing w:after="0"/>
              <w:rPr>
                <w:sz w:val="20"/>
                <w:szCs w:val="20"/>
                <w:color w:val="auto"/>
              </w:rPr>
            </w:pPr>
            <w:r>
              <w:rPr>
                <w:rFonts w:ascii="Times New Roman" w:cs="Times New Roman" w:eastAsia="Times New Roman" w:hAnsi="Times New Roman"/>
                <w:sz w:val="14"/>
                <w:szCs w:val="14"/>
                <w:color w:val="535353"/>
              </w:rPr>
              <w:t>$24</w:t>
            </w:r>
          </w:p>
        </w:tc>
        <w:tc>
          <w:tcPr>
            <w:tcW w:w="740" w:type="dxa"/>
            <w:vAlign w:val="bottom"/>
            <w:tcBorders>
              <w:bottom w:val="single" w:sz="8" w:color="EE4921"/>
            </w:tcBorders>
          </w:tcPr>
          <w:p>
            <w:pPr>
              <w:jc w:val="center"/>
              <w:ind w:left="89"/>
              <w:spacing w:after="0"/>
              <w:rPr>
                <w:sz w:val="20"/>
                <w:szCs w:val="20"/>
                <w:color w:val="auto"/>
              </w:rPr>
            </w:pPr>
            <w:r>
              <w:rPr>
                <w:rFonts w:ascii="Times New Roman" w:cs="Times New Roman" w:eastAsia="Times New Roman" w:hAnsi="Times New Roman"/>
                <w:sz w:val="14"/>
                <w:szCs w:val="14"/>
                <w:color w:val="535353"/>
              </w:rPr>
              <w:t>$31</w:t>
            </w:r>
          </w:p>
        </w:tc>
        <w:tc>
          <w:tcPr>
            <w:tcW w:w="800" w:type="dxa"/>
            <w:vAlign w:val="bottom"/>
            <w:tcBorders>
              <w:bottom w:val="single" w:sz="8" w:color="EE4921"/>
            </w:tcBorders>
          </w:tcPr>
          <w:p>
            <w:pPr>
              <w:jc w:val="right"/>
              <w:ind w:right="169"/>
              <w:spacing w:after="0"/>
              <w:rPr>
                <w:sz w:val="20"/>
                <w:szCs w:val="20"/>
                <w:color w:val="auto"/>
              </w:rPr>
            </w:pPr>
            <w:r>
              <w:rPr>
                <w:rFonts w:ascii="Times New Roman" w:cs="Times New Roman" w:eastAsia="Times New Roman" w:hAnsi="Times New Roman"/>
                <w:sz w:val="14"/>
                <w:szCs w:val="14"/>
                <w:color w:val="535353"/>
              </w:rPr>
              <w:t>$1</w:t>
            </w:r>
          </w:p>
        </w:tc>
        <w:tc>
          <w:tcPr>
            <w:tcW w:w="780" w:type="dxa"/>
            <w:vAlign w:val="bottom"/>
            <w:tcBorders>
              <w:bottom w:val="single" w:sz="8" w:color="EE4921"/>
            </w:tcBorders>
          </w:tcPr>
          <w:p>
            <w:pPr>
              <w:jc w:val="center"/>
              <w:ind w:left="89"/>
              <w:spacing w:after="0"/>
              <w:rPr>
                <w:sz w:val="20"/>
                <w:szCs w:val="20"/>
                <w:color w:val="auto"/>
              </w:rPr>
            </w:pPr>
            <w:r>
              <w:rPr>
                <w:rFonts w:ascii="Times New Roman" w:cs="Times New Roman" w:eastAsia="Times New Roman" w:hAnsi="Times New Roman"/>
                <w:sz w:val="14"/>
                <w:szCs w:val="14"/>
                <w:color w:val="535353"/>
              </w:rPr>
              <w:t>$31</w:t>
            </w:r>
          </w:p>
        </w:tc>
        <w:tc>
          <w:tcPr>
            <w:tcW w:w="840" w:type="dxa"/>
            <w:vAlign w:val="bottom"/>
            <w:tcBorders>
              <w:bottom w:val="single" w:sz="8" w:color="EE4921"/>
            </w:tcBorders>
          </w:tcPr>
          <w:p>
            <w:pPr>
              <w:jc w:val="center"/>
              <w:ind w:left="29"/>
              <w:spacing w:after="0"/>
              <w:rPr>
                <w:sz w:val="20"/>
                <w:szCs w:val="20"/>
                <w:color w:val="auto"/>
              </w:rPr>
            </w:pPr>
            <w:r>
              <w:rPr>
                <w:rFonts w:ascii="Times New Roman" w:cs="Times New Roman" w:eastAsia="Times New Roman" w:hAnsi="Times New Roman"/>
                <w:sz w:val="14"/>
                <w:szCs w:val="14"/>
                <w:color w:val="535353"/>
                <w:w w:val="99"/>
              </w:rPr>
              <w:t>$7</w:t>
            </w:r>
          </w:p>
        </w:tc>
        <w:tc>
          <w:tcPr>
            <w:tcW w:w="720" w:type="dxa"/>
            <w:vAlign w:val="bottom"/>
            <w:tcBorders>
              <w:bottom w:val="single" w:sz="8" w:color="EE4921"/>
            </w:tcBorders>
          </w:tcPr>
          <w:p>
            <w:pPr>
              <w:ind w:left="280"/>
              <w:spacing w:after="0"/>
              <w:rPr>
                <w:sz w:val="20"/>
                <w:szCs w:val="20"/>
                <w:color w:val="auto"/>
              </w:rPr>
            </w:pPr>
            <w:r>
              <w:rPr>
                <w:rFonts w:ascii="Times New Roman" w:cs="Times New Roman" w:eastAsia="Times New Roman" w:hAnsi="Times New Roman"/>
                <w:sz w:val="14"/>
                <w:szCs w:val="14"/>
                <w:color w:val="535353"/>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5" w:hanging="85"/>
        <w:spacing w:after="0"/>
        <w:tabs>
          <w:tab w:leader="none" w:pos="85" w:val="left"/>
        </w:tabs>
        <w:numPr>
          <w:ilvl w:val="0"/>
          <w:numId w:val="11"/>
        </w:numPr>
        <w:rPr>
          <w:rFonts w:ascii="Times New Roman" w:cs="Times New Roman" w:eastAsia="Times New Roman" w:hAnsi="Times New Roman"/>
          <w:sz w:val="20"/>
          <w:szCs w:val="20"/>
          <w:color w:val="707070"/>
          <w:vertAlign w:val="superscript"/>
        </w:rPr>
      </w:pPr>
      <w:r>
        <w:rPr>
          <w:rFonts w:ascii="Times New Roman" w:cs="Times New Roman" w:eastAsia="Times New Roman" w:hAnsi="Times New Roman"/>
          <w:sz w:val="16"/>
          <w:szCs w:val="16"/>
          <w:color w:val="707070"/>
        </w:rPr>
        <w:t xml:space="preserve">See page </w:t>
      </w:r>
      <w:r>
        <w:rPr>
          <w:rFonts w:ascii="Times New Roman" w:cs="Times New Roman" w:eastAsia="Times New Roman" w:hAnsi="Times New Roman"/>
          <w:sz w:val="16"/>
          <w:szCs w:val="16"/>
          <w:u w:val="single" w:color="auto"/>
          <w:color w:val="707070"/>
        </w:rPr>
        <w:t>12</w:t>
      </w:r>
      <w:r>
        <w:rPr>
          <w:rFonts w:ascii="Times New Roman" w:cs="Times New Roman" w:eastAsia="Times New Roman" w:hAnsi="Times New Roman"/>
          <w:sz w:val="16"/>
          <w:szCs w:val="16"/>
          <w:color w:val="707070"/>
        </w:rPr>
        <w:t xml:space="preserve"> of this supplement for additional information regarding Contribution, a non-GAAP financial measure.</w:t>
      </w:r>
    </w:p>
    <w:p>
      <w:pPr>
        <w:ind w:left="85" w:hanging="85"/>
        <w:spacing w:after="0" w:line="196" w:lineRule="auto"/>
        <w:tabs>
          <w:tab w:leader="none" w:pos="85" w:val="left"/>
        </w:tabs>
        <w:numPr>
          <w:ilvl w:val="0"/>
          <w:numId w:val="12"/>
        </w:numPr>
        <w:rPr>
          <w:rFonts w:ascii="Times New Roman" w:cs="Times New Roman" w:eastAsia="Times New Roman" w:hAnsi="Times New Roman"/>
          <w:sz w:val="20"/>
          <w:szCs w:val="20"/>
          <w:color w:val="707070"/>
          <w:vertAlign w:val="superscript"/>
        </w:rPr>
      </w:pPr>
      <w:r>
        <w:rPr>
          <w:rFonts w:ascii="Times New Roman" w:cs="Times New Roman" w:eastAsia="Times New Roman" w:hAnsi="Times New Roman"/>
          <w:sz w:val="16"/>
          <w:szCs w:val="16"/>
          <w:color w:val="707070"/>
        </w:rPr>
        <w:t xml:space="preserve">See page </w:t>
      </w:r>
      <w:r>
        <w:rPr>
          <w:rFonts w:ascii="Times New Roman" w:cs="Times New Roman" w:eastAsia="Times New Roman" w:hAnsi="Times New Roman"/>
          <w:sz w:val="16"/>
          <w:szCs w:val="16"/>
          <w:u w:val="single" w:color="auto"/>
          <w:color w:val="707070"/>
        </w:rPr>
        <w:t>13</w:t>
      </w:r>
      <w:r>
        <w:rPr>
          <w:rFonts w:ascii="Times New Roman" w:cs="Times New Roman" w:eastAsia="Times New Roman" w:hAnsi="Times New Roman"/>
          <w:sz w:val="16"/>
          <w:szCs w:val="16"/>
          <w:color w:val="707070"/>
        </w:rPr>
        <w:t xml:space="preserve"> of this supplement for additional information regarding Adjusted EBITDA, a non-GAAP financial measure.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F36D4D"/>
        </w:rPr>
        <w:t>11</w:t>
      </w:r>
    </w:p>
    <w:p>
      <w:pPr>
        <w:sectPr>
          <w:pgSz w:w="11900" w:h="16838" w:orient="portrait"/>
          <w:cols w:equalWidth="0" w:num="1">
            <w:col w:w="10965"/>
          </w:cols>
          <w:pgMar w:left="315" w:top="1006" w:right="6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38"/>
          <w:szCs w:val="38"/>
          <w:b w:val="1"/>
          <w:bCs w:val="1"/>
          <w:color w:val="535353"/>
        </w:rPr>
        <w:drawing>
          <wp:anchor simplePos="0" relativeHeight="251657728" behindDoc="1" locked="0" layoutInCell="0" allowOverlap="1">
            <wp:simplePos x="0" y="0"/>
            <wp:positionH relativeFrom="page">
              <wp:posOffset>7101205</wp:posOffset>
            </wp:positionH>
            <wp:positionV relativeFrom="page">
              <wp:posOffset>88900</wp:posOffset>
            </wp:positionV>
            <wp:extent cx="247650" cy="210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47650" cy="210185"/>
                    </a:xfrm>
                    <a:prstGeom prst="rect">
                      <a:avLst/>
                    </a:prstGeom>
                    <a:noFill/>
                  </pic:spPr>
                </pic:pic>
              </a:graphicData>
            </a:graphic>
          </wp:anchor>
        </w:drawing>
        <w:t>Contribution to Gross Profit</w:t>
      </w:r>
    </w:p>
    <w:p>
      <w:pPr>
        <w:spacing w:after="0" w:line="21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535353"/>
        </w:rPr>
        <w:t>We define “Contribution” as revenue less revenue share payments and online advertising costs, or, as reported in our consolidated statements of operations, revenue less cost of revenue (i.e., gross profit), as adjusted to exclude the following items from cost of revenue: equity-based compensation; salaries, wages, and related costs; internet and hosting costs; amortization; depreciation; other services; and merchant-related fees. We define “Contribution Margin” as Contribution expressed as a percentage of revenue for the same period. Contribution and Contribution Margin are non-GAAP financial measures that we present to supplement the financial information we present on a GAAP basis. We use Contribution and Contribution Margin to measure the return on our relationships with our Supply Partners (excluding certain fixed costs), the financial return on and efficacy of our online advertising costs to drive consumers to our proprietary websites, and our operating leverage. We do not use Contribution and Contribution Margin as measures of overall profitability. We present Contribution and Contribution Margin because they are used by our management and board of directors to manage our operating performance, including evaluating our operational performance against budget and assessing our overall operating efficiency and operating leverage. For example, if Contribution increases and our headcount costs and other operating expenses remain steady, our Adjusted EBITDA and operating leverage increase. If Contribution Margin decreases, we may choose to re-evaluate and re-negotiate our revenue share agreements with our Supply Partners, to make optimization and pricing changes with respect to our bids for keywords from primary traffic acquisition sources, or to change our overall cost structure with respect to headcount, fixed costs and other costs. Other companies may calculate Contribution and Contribution Margin differently than we do. Contribution and Contribution Margin have their limitations as analytical tools, and you should not consider them in isolation or as substitutes for analysis of our results presented in accordance with GAAP.</w:t>
      </w:r>
    </w:p>
    <w:p>
      <w:pPr>
        <w:spacing w:after="0" w:line="73"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6"/>
          <w:szCs w:val="16"/>
          <w:color w:val="707070"/>
        </w:rPr>
        <w:t>The following table reconciles Contribution with gross profit, the most directly comparable financial measure calculated and presented in accordance with GAAP, for the three months ended March 31, 2026 and 2025:</w:t>
      </w:r>
    </w:p>
    <w:p>
      <w:pPr>
        <w:spacing w:after="0" w:line="182" w:lineRule="exact"/>
        <w:rPr>
          <w:sz w:val="20"/>
          <w:szCs w:val="20"/>
          <w:color w:val="auto"/>
        </w:rPr>
      </w:pPr>
    </w:p>
    <w:tbl>
      <w:tblPr>
        <w:tblLayout w:type="fixed"/>
        <w:tblInd w:w="258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8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535353"/>
              </w:rPr>
              <w:t>Three Months Ended March 31,</w:t>
            </w:r>
          </w:p>
        </w:tc>
      </w:tr>
      <w:tr>
        <w:trPr>
          <w:trHeight w:val="192"/>
        </w:trPr>
        <w:tc>
          <w:tcPr>
            <w:tcW w:w="346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b w:val="1"/>
                <w:bCs w:val="1"/>
                <w:color w:val="535353"/>
              </w:rPr>
              <w:t>(in thousands)</w:t>
            </w:r>
          </w:p>
        </w:tc>
        <w:tc>
          <w:tcPr>
            <w:tcW w:w="360" w:type="dxa"/>
            <w:vAlign w:val="bottom"/>
            <w:tcBorders>
              <w:bottom w:val="single" w:sz="8" w:color="EE4921"/>
            </w:tcBorders>
          </w:tcPr>
          <w:p>
            <w:pPr>
              <w:spacing w:after="0"/>
              <w:rPr>
                <w:sz w:val="16"/>
                <w:szCs w:val="16"/>
                <w:color w:val="auto"/>
              </w:rPr>
            </w:pPr>
          </w:p>
        </w:tc>
        <w:tc>
          <w:tcPr>
            <w:tcW w:w="1060" w:type="dxa"/>
            <w:vAlign w:val="bottom"/>
            <w:tcBorders>
              <w:bottom w:val="single" w:sz="8" w:color="EE4921"/>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535353"/>
              </w:rPr>
              <w:t>2026</w:t>
            </w:r>
          </w:p>
        </w:tc>
        <w:tc>
          <w:tcPr>
            <w:tcW w:w="300" w:type="dxa"/>
            <w:vAlign w:val="bottom"/>
            <w:tcBorders>
              <w:bottom w:val="single" w:sz="8" w:color="EE4921"/>
            </w:tcBorders>
          </w:tcPr>
          <w:p>
            <w:pPr>
              <w:spacing w:after="0"/>
              <w:rPr>
                <w:sz w:val="16"/>
                <w:szCs w:val="16"/>
                <w:color w:val="auto"/>
              </w:rPr>
            </w:pPr>
          </w:p>
        </w:tc>
        <w:tc>
          <w:tcPr>
            <w:tcW w:w="920" w:type="dxa"/>
            <w:vAlign w:val="bottom"/>
            <w:tcBorders>
              <w:bottom w:val="single" w:sz="8" w:color="EE4921"/>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535353"/>
              </w:rPr>
              <w:t>2025</w:t>
            </w:r>
          </w:p>
        </w:tc>
      </w:tr>
      <w:tr>
        <w:trPr>
          <w:trHeight w:val="181"/>
        </w:trPr>
        <w:tc>
          <w:tcPr>
            <w:tcW w:w="3460" w:type="dxa"/>
            <w:vAlign w:val="bottom"/>
            <w:tcBorders>
              <w:bottom w:val="single" w:sz="8" w:color="EE4921"/>
            </w:tcBorders>
          </w:tcPr>
          <w:p>
            <w:pPr>
              <w:ind w:left="140"/>
              <w:spacing w:after="0"/>
              <w:rPr>
                <w:sz w:val="20"/>
                <w:szCs w:val="20"/>
                <w:color w:val="auto"/>
              </w:rPr>
            </w:pPr>
            <w:r>
              <w:rPr>
                <w:rFonts w:ascii="Times New Roman" w:cs="Times New Roman" w:eastAsia="Times New Roman" w:hAnsi="Times New Roman"/>
                <w:sz w:val="14"/>
                <w:szCs w:val="14"/>
                <w:color w:val="535353"/>
              </w:rPr>
              <w:t>Revenue</w:t>
            </w:r>
          </w:p>
        </w:tc>
        <w:tc>
          <w:tcPr>
            <w:tcW w:w="360" w:type="dxa"/>
            <w:vAlign w:val="bottom"/>
            <w:tcBorders>
              <w:bottom w:val="single" w:sz="8" w:color="EE4921"/>
            </w:tcBorders>
          </w:tcPr>
          <w:p>
            <w:pPr>
              <w:jc w:val="right"/>
              <w:ind w:right="9"/>
              <w:spacing w:after="0"/>
              <w:rPr>
                <w:sz w:val="20"/>
                <w:szCs w:val="20"/>
                <w:color w:val="auto"/>
              </w:rPr>
            </w:pPr>
            <w:r>
              <w:rPr>
                <w:rFonts w:ascii="Times New Roman" w:cs="Times New Roman" w:eastAsia="Times New Roman" w:hAnsi="Times New Roman"/>
                <w:sz w:val="14"/>
                <w:szCs w:val="14"/>
                <w:color w:val="535353"/>
              </w:rPr>
              <w:t>$</w:t>
            </w:r>
          </w:p>
        </w:tc>
        <w:tc>
          <w:tcPr>
            <w:tcW w:w="1060" w:type="dxa"/>
            <w:vAlign w:val="bottom"/>
            <w:tcBorders>
              <w:bottom w:val="single" w:sz="8" w:color="EE4921"/>
            </w:tcBorders>
          </w:tcPr>
          <w:p>
            <w:pPr>
              <w:jc w:val="right"/>
              <w:ind w:right="149"/>
              <w:spacing w:after="0"/>
              <w:rPr>
                <w:sz w:val="20"/>
                <w:szCs w:val="20"/>
                <w:color w:val="auto"/>
              </w:rPr>
            </w:pPr>
            <w:r>
              <w:rPr>
                <w:rFonts w:ascii="Times New Roman" w:cs="Times New Roman" w:eastAsia="Times New Roman" w:hAnsi="Times New Roman"/>
                <w:sz w:val="14"/>
                <w:szCs w:val="14"/>
                <w:color w:val="535353"/>
              </w:rPr>
              <w:t>310,004</w:t>
            </w:r>
          </w:p>
        </w:tc>
        <w:tc>
          <w:tcPr>
            <w:tcW w:w="30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w:t>
            </w:r>
          </w:p>
        </w:tc>
        <w:tc>
          <w:tcPr>
            <w:tcW w:w="92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264,309</w:t>
            </w:r>
          </w:p>
        </w:tc>
      </w:tr>
      <w:tr>
        <w:trPr>
          <w:trHeight w:val="181"/>
        </w:trPr>
        <w:tc>
          <w:tcPr>
            <w:tcW w:w="3460" w:type="dxa"/>
            <w:vAlign w:val="bottom"/>
            <w:tcBorders>
              <w:bottom w:val="single" w:sz="8" w:color="EE4921"/>
            </w:tcBorders>
          </w:tcPr>
          <w:p>
            <w:pPr>
              <w:ind w:left="140"/>
              <w:spacing w:after="0"/>
              <w:rPr>
                <w:sz w:val="20"/>
                <w:szCs w:val="20"/>
                <w:color w:val="auto"/>
              </w:rPr>
            </w:pPr>
            <w:r>
              <w:rPr>
                <w:rFonts w:ascii="Times New Roman" w:cs="Times New Roman" w:eastAsia="Times New Roman" w:hAnsi="Times New Roman"/>
                <w:sz w:val="14"/>
                <w:szCs w:val="14"/>
                <w:color w:val="535353"/>
              </w:rPr>
              <w:t>Less cost of revenue</w:t>
            </w:r>
          </w:p>
        </w:tc>
        <w:tc>
          <w:tcPr>
            <w:tcW w:w="360" w:type="dxa"/>
            <w:vAlign w:val="bottom"/>
            <w:tcBorders>
              <w:bottom w:val="single" w:sz="8" w:color="EE4921"/>
            </w:tcBorders>
          </w:tcPr>
          <w:p>
            <w:pPr>
              <w:spacing w:after="0"/>
              <w:rPr>
                <w:sz w:val="15"/>
                <w:szCs w:val="15"/>
                <w:color w:val="auto"/>
              </w:rPr>
            </w:pPr>
          </w:p>
        </w:tc>
        <w:tc>
          <w:tcPr>
            <w:tcW w:w="106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(263,305)</w:t>
            </w:r>
          </w:p>
        </w:tc>
        <w:tc>
          <w:tcPr>
            <w:tcW w:w="300" w:type="dxa"/>
            <w:vAlign w:val="bottom"/>
            <w:tcBorders>
              <w:bottom w:val="single" w:sz="8" w:color="EE4921"/>
            </w:tcBorders>
          </w:tcPr>
          <w:p>
            <w:pPr>
              <w:spacing w:after="0"/>
              <w:rPr>
                <w:sz w:val="15"/>
                <w:szCs w:val="15"/>
                <w:color w:val="auto"/>
              </w:rPr>
            </w:pPr>
          </w:p>
        </w:tc>
        <w:tc>
          <w:tcPr>
            <w:tcW w:w="920" w:type="dxa"/>
            <w:vAlign w:val="bottom"/>
            <w:tcBorders>
              <w:bottom w:val="single" w:sz="8" w:color="EE4921"/>
            </w:tcBorders>
          </w:tcPr>
          <w:p>
            <w:pPr>
              <w:jc w:val="right"/>
              <w:ind w:right="69"/>
              <w:spacing w:after="0"/>
              <w:rPr>
                <w:sz w:val="20"/>
                <w:szCs w:val="20"/>
                <w:color w:val="auto"/>
              </w:rPr>
            </w:pPr>
            <w:r>
              <w:rPr>
                <w:rFonts w:ascii="Times New Roman" w:cs="Times New Roman" w:eastAsia="Times New Roman" w:hAnsi="Times New Roman"/>
                <w:sz w:val="14"/>
                <w:szCs w:val="14"/>
                <w:color w:val="535353"/>
              </w:rPr>
              <w:t>(222,670)</w:t>
            </w:r>
          </w:p>
        </w:tc>
      </w:tr>
      <w:tr>
        <w:trPr>
          <w:trHeight w:val="181"/>
        </w:trPr>
        <w:tc>
          <w:tcPr>
            <w:tcW w:w="3460" w:type="dxa"/>
            <w:vAlign w:val="bottom"/>
            <w:tcBorders>
              <w:bottom w:val="single" w:sz="8" w:color="EE4921"/>
            </w:tcBorders>
          </w:tcPr>
          <w:p>
            <w:pPr>
              <w:ind w:left="280"/>
              <w:spacing w:after="0"/>
              <w:rPr>
                <w:sz w:val="20"/>
                <w:szCs w:val="20"/>
                <w:color w:val="auto"/>
              </w:rPr>
            </w:pPr>
            <w:r>
              <w:rPr>
                <w:rFonts w:ascii="Times New Roman" w:cs="Times New Roman" w:eastAsia="Times New Roman" w:hAnsi="Times New Roman"/>
                <w:sz w:val="14"/>
                <w:szCs w:val="14"/>
                <w:color w:val="535353"/>
              </w:rPr>
              <w:t>Gross profit</w:t>
            </w:r>
          </w:p>
        </w:tc>
        <w:tc>
          <w:tcPr>
            <w:tcW w:w="360" w:type="dxa"/>
            <w:vAlign w:val="bottom"/>
            <w:tcBorders>
              <w:bottom w:val="single" w:sz="8" w:color="EE4921"/>
            </w:tcBorders>
          </w:tcPr>
          <w:p>
            <w:pPr>
              <w:jc w:val="right"/>
              <w:ind w:right="9"/>
              <w:spacing w:after="0"/>
              <w:rPr>
                <w:sz w:val="20"/>
                <w:szCs w:val="20"/>
                <w:color w:val="auto"/>
              </w:rPr>
            </w:pPr>
            <w:r>
              <w:rPr>
                <w:rFonts w:ascii="Times New Roman" w:cs="Times New Roman" w:eastAsia="Times New Roman" w:hAnsi="Times New Roman"/>
                <w:sz w:val="14"/>
                <w:szCs w:val="14"/>
                <w:color w:val="535353"/>
              </w:rPr>
              <w:t>$</w:t>
            </w:r>
          </w:p>
        </w:tc>
        <w:tc>
          <w:tcPr>
            <w:tcW w:w="1060" w:type="dxa"/>
            <w:vAlign w:val="bottom"/>
            <w:tcBorders>
              <w:bottom w:val="single" w:sz="8" w:color="EE4921"/>
            </w:tcBorders>
          </w:tcPr>
          <w:p>
            <w:pPr>
              <w:jc w:val="right"/>
              <w:ind w:right="149"/>
              <w:spacing w:after="0"/>
              <w:rPr>
                <w:sz w:val="20"/>
                <w:szCs w:val="20"/>
                <w:color w:val="auto"/>
              </w:rPr>
            </w:pPr>
            <w:r>
              <w:rPr>
                <w:rFonts w:ascii="Times New Roman" w:cs="Times New Roman" w:eastAsia="Times New Roman" w:hAnsi="Times New Roman"/>
                <w:sz w:val="14"/>
                <w:szCs w:val="14"/>
                <w:color w:val="535353"/>
              </w:rPr>
              <w:t>46,699</w:t>
            </w:r>
          </w:p>
        </w:tc>
        <w:tc>
          <w:tcPr>
            <w:tcW w:w="30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w:t>
            </w:r>
          </w:p>
        </w:tc>
        <w:tc>
          <w:tcPr>
            <w:tcW w:w="92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41,639</w:t>
            </w:r>
          </w:p>
        </w:tc>
      </w:tr>
      <w:tr>
        <w:trPr>
          <w:trHeight w:val="183"/>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535353"/>
              </w:rPr>
              <w:t>Adjusted to exclude the following (as related to cost of</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3"/>
        </w:trPr>
        <w:tc>
          <w:tcPr>
            <w:tcW w:w="346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color w:val="535353"/>
              </w:rPr>
              <w:t>revenue):</w:t>
            </w:r>
          </w:p>
        </w:tc>
        <w:tc>
          <w:tcPr>
            <w:tcW w:w="360" w:type="dxa"/>
            <w:vAlign w:val="bottom"/>
            <w:tcBorders>
              <w:bottom w:val="single" w:sz="8" w:color="EE4921"/>
            </w:tcBorders>
          </w:tcPr>
          <w:p>
            <w:pPr>
              <w:spacing w:after="0"/>
              <w:rPr>
                <w:sz w:val="16"/>
                <w:szCs w:val="16"/>
                <w:color w:val="auto"/>
              </w:rPr>
            </w:pPr>
          </w:p>
        </w:tc>
        <w:tc>
          <w:tcPr>
            <w:tcW w:w="1060" w:type="dxa"/>
            <w:vAlign w:val="bottom"/>
            <w:tcBorders>
              <w:bottom w:val="single" w:sz="8" w:color="EE4921"/>
            </w:tcBorders>
          </w:tcPr>
          <w:p>
            <w:pPr>
              <w:spacing w:after="0"/>
              <w:rPr>
                <w:sz w:val="16"/>
                <w:szCs w:val="16"/>
                <w:color w:val="auto"/>
              </w:rPr>
            </w:pPr>
          </w:p>
        </w:tc>
        <w:tc>
          <w:tcPr>
            <w:tcW w:w="300" w:type="dxa"/>
            <w:vAlign w:val="bottom"/>
            <w:tcBorders>
              <w:bottom w:val="single" w:sz="8" w:color="EE4921"/>
            </w:tcBorders>
          </w:tcPr>
          <w:p>
            <w:pPr>
              <w:spacing w:after="0"/>
              <w:rPr>
                <w:sz w:val="16"/>
                <w:szCs w:val="16"/>
                <w:color w:val="auto"/>
              </w:rPr>
            </w:pPr>
          </w:p>
        </w:tc>
        <w:tc>
          <w:tcPr>
            <w:tcW w:w="920" w:type="dxa"/>
            <w:vAlign w:val="bottom"/>
            <w:tcBorders>
              <w:bottom w:val="single" w:sz="8" w:color="EE4921"/>
            </w:tcBorders>
          </w:tcPr>
          <w:p>
            <w:pPr>
              <w:spacing w:after="0"/>
              <w:rPr>
                <w:sz w:val="16"/>
                <w:szCs w:val="16"/>
                <w:color w:val="auto"/>
              </w:rPr>
            </w:pPr>
          </w:p>
        </w:tc>
      </w:tr>
      <w:tr>
        <w:trPr>
          <w:trHeight w:val="187"/>
        </w:trPr>
        <w:tc>
          <w:tcPr>
            <w:tcW w:w="3460" w:type="dxa"/>
            <w:vAlign w:val="bottom"/>
            <w:tcBorders>
              <w:bottom w:val="single" w:sz="8" w:color="EE4921"/>
            </w:tcBorders>
          </w:tcPr>
          <w:p>
            <w:pPr>
              <w:ind w:left="280"/>
              <w:spacing w:after="0"/>
              <w:rPr>
                <w:sz w:val="20"/>
                <w:szCs w:val="20"/>
                <w:color w:val="auto"/>
              </w:rPr>
            </w:pPr>
            <w:r>
              <w:rPr>
                <w:rFonts w:ascii="Times New Roman" w:cs="Times New Roman" w:eastAsia="Times New Roman" w:hAnsi="Times New Roman"/>
                <w:sz w:val="14"/>
                <w:szCs w:val="14"/>
                <w:color w:val="535353"/>
              </w:rPr>
              <w:t>Equity-based compensation</w:t>
            </w:r>
          </w:p>
        </w:tc>
        <w:tc>
          <w:tcPr>
            <w:tcW w:w="360" w:type="dxa"/>
            <w:vAlign w:val="bottom"/>
            <w:tcBorders>
              <w:bottom w:val="single" w:sz="8" w:color="EE4921"/>
            </w:tcBorders>
          </w:tcPr>
          <w:p>
            <w:pPr>
              <w:spacing w:after="0"/>
              <w:rPr>
                <w:sz w:val="16"/>
                <w:szCs w:val="16"/>
                <w:color w:val="auto"/>
              </w:rPr>
            </w:pPr>
          </w:p>
        </w:tc>
        <w:tc>
          <w:tcPr>
            <w:tcW w:w="1060" w:type="dxa"/>
            <w:vAlign w:val="bottom"/>
            <w:tcBorders>
              <w:bottom w:val="single" w:sz="8" w:color="EE4921"/>
            </w:tcBorders>
          </w:tcPr>
          <w:p>
            <w:pPr>
              <w:jc w:val="right"/>
              <w:ind w:right="149"/>
              <w:spacing w:after="0"/>
              <w:rPr>
                <w:sz w:val="20"/>
                <w:szCs w:val="20"/>
                <w:color w:val="auto"/>
              </w:rPr>
            </w:pPr>
            <w:r>
              <w:rPr>
                <w:rFonts w:ascii="Times New Roman" w:cs="Times New Roman" w:eastAsia="Times New Roman" w:hAnsi="Times New Roman"/>
                <w:sz w:val="14"/>
                <w:szCs w:val="14"/>
                <w:color w:val="535353"/>
              </w:rPr>
              <w:t>143</w:t>
            </w:r>
          </w:p>
        </w:tc>
        <w:tc>
          <w:tcPr>
            <w:tcW w:w="300" w:type="dxa"/>
            <w:vAlign w:val="bottom"/>
            <w:tcBorders>
              <w:bottom w:val="single" w:sz="8" w:color="EE4921"/>
            </w:tcBorders>
          </w:tcPr>
          <w:p>
            <w:pPr>
              <w:spacing w:after="0"/>
              <w:rPr>
                <w:sz w:val="16"/>
                <w:szCs w:val="16"/>
                <w:color w:val="auto"/>
              </w:rPr>
            </w:pPr>
          </w:p>
        </w:tc>
        <w:tc>
          <w:tcPr>
            <w:tcW w:w="92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294</w:t>
            </w:r>
          </w:p>
        </w:tc>
      </w:tr>
      <w:tr>
        <w:trPr>
          <w:trHeight w:val="181"/>
        </w:trPr>
        <w:tc>
          <w:tcPr>
            <w:tcW w:w="3460" w:type="dxa"/>
            <w:vAlign w:val="bottom"/>
            <w:tcBorders>
              <w:bottom w:val="single" w:sz="8" w:color="EE4921"/>
            </w:tcBorders>
          </w:tcPr>
          <w:p>
            <w:pPr>
              <w:ind w:left="280"/>
              <w:spacing w:after="0"/>
              <w:rPr>
                <w:sz w:val="20"/>
                <w:szCs w:val="20"/>
                <w:color w:val="auto"/>
              </w:rPr>
            </w:pPr>
            <w:r>
              <w:rPr>
                <w:rFonts w:ascii="Times New Roman" w:cs="Times New Roman" w:eastAsia="Times New Roman" w:hAnsi="Times New Roman"/>
                <w:sz w:val="14"/>
                <w:szCs w:val="14"/>
                <w:color w:val="535353"/>
              </w:rPr>
              <w:t>Salaries, wages, and related</w:t>
            </w:r>
          </w:p>
        </w:tc>
        <w:tc>
          <w:tcPr>
            <w:tcW w:w="360" w:type="dxa"/>
            <w:vAlign w:val="bottom"/>
            <w:tcBorders>
              <w:bottom w:val="single" w:sz="8" w:color="EE4921"/>
            </w:tcBorders>
          </w:tcPr>
          <w:p>
            <w:pPr>
              <w:spacing w:after="0"/>
              <w:rPr>
                <w:sz w:val="15"/>
                <w:szCs w:val="15"/>
                <w:color w:val="auto"/>
              </w:rPr>
            </w:pPr>
          </w:p>
        </w:tc>
        <w:tc>
          <w:tcPr>
            <w:tcW w:w="1060" w:type="dxa"/>
            <w:vAlign w:val="bottom"/>
            <w:tcBorders>
              <w:bottom w:val="single" w:sz="8" w:color="EE4921"/>
            </w:tcBorders>
          </w:tcPr>
          <w:p>
            <w:pPr>
              <w:jc w:val="right"/>
              <w:ind w:right="149"/>
              <w:spacing w:after="0"/>
              <w:rPr>
                <w:sz w:val="20"/>
                <w:szCs w:val="20"/>
                <w:color w:val="auto"/>
              </w:rPr>
            </w:pPr>
            <w:r>
              <w:rPr>
                <w:rFonts w:ascii="Times New Roman" w:cs="Times New Roman" w:eastAsia="Times New Roman" w:hAnsi="Times New Roman"/>
                <w:sz w:val="14"/>
                <w:szCs w:val="14"/>
                <w:color w:val="535353"/>
              </w:rPr>
              <w:t>345</w:t>
            </w:r>
          </w:p>
        </w:tc>
        <w:tc>
          <w:tcPr>
            <w:tcW w:w="300" w:type="dxa"/>
            <w:vAlign w:val="bottom"/>
            <w:tcBorders>
              <w:bottom w:val="single" w:sz="8" w:color="EE4921"/>
            </w:tcBorders>
          </w:tcPr>
          <w:p>
            <w:pPr>
              <w:spacing w:after="0"/>
              <w:rPr>
                <w:sz w:val="15"/>
                <w:szCs w:val="15"/>
                <w:color w:val="auto"/>
              </w:rPr>
            </w:pPr>
          </w:p>
        </w:tc>
        <w:tc>
          <w:tcPr>
            <w:tcW w:w="92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816</w:t>
            </w:r>
          </w:p>
        </w:tc>
      </w:tr>
      <w:tr>
        <w:trPr>
          <w:trHeight w:val="181"/>
        </w:trPr>
        <w:tc>
          <w:tcPr>
            <w:tcW w:w="3460" w:type="dxa"/>
            <w:vAlign w:val="bottom"/>
            <w:tcBorders>
              <w:bottom w:val="single" w:sz="8" w:color="EE4921"/>
            </w:tcBorders>
          </w:tcPr>
          <w:p>
            <w:pPr>
              <w:ind w:left="280"/>
              <w:spacing w:after="0"/>
              <w:rPr>
                <w:sz w:val="20"/>
                <w:szCs w:val="20"/>
                <w:color w:val="auto"/>
              </w:rPr>
            </w:pPr>
            <w:r>
              <w:rPr>
                <w:rFonts w:ascii="Times New Roman" w:cs="Times New Roman" w:eastAsia="Times New Roman" w:hAnsi="Times New Roman"/>
                <w:sz w:val="14"/>
                <w:szCs w:val="14"/>
                <w:color w:val="535353"/>
              </w:rPr>
              <w:t>Internet and hosting</w:t>
            </w:r>
          </w:p>
        </w:tc>
        <w:tc>
          <w:tcPr>
            <w:tcW w:w="360" w:type="dxa"/>
            <w:vAlign w:val="bottom"/>
            <w:tcBorders>
              <w:bottom w:val="single" w:sz="8" w:color="EE4921"/>
            </w:tcBorders>
          </w:tcPr>
          <w:p>
            <w:pPr>
              <w:spacing w:after="0"/>
              <w:rPr>
                <w:sz w:val="15"/>
                <w:szCs w:val="15"/>
                <w:color w:val="auto"/>
              </w:rPr>
            </w:pPr>
          </w:p>
        </w:tc>
        <w:tc>
          <w:tcPr>
            <w:tcW w:w="1060" w:type="dxa"/>
            <w:vAlign w:val="bottom"/>
            <w:tcBorders>
              <w:bottom w:val="single" w:sz="8" w:color="EE4921"/>
            </w:tcBorders>
          </w:tcPr>
          <w:p>
            <w:pPr>
              <w:jc w:val="right"/>
              <w:ind w:right="149"/>
              <w:spacing w:after="0"/>
              <w:rPr>
                <w:sz w:val="20"/>
                <w:szCs w:val="20"/>
                <w:color w:val="auto"/>
              </w:rPr>
            </w:pPr>
            <w:r>
              <w:rPr>
                <w:rFonts w:ascii="Times New Roman" w:cs="Times New Roman" w:eastAsia="Times New Roman" w:hAnsi="Times New Roman"/>
                <w:sz w:val="14"/>
                <w:szCs w:val="14"/>
                <w:color w:val="535353"/>
              </w:rPr>
              <w:t>255</w:t>
            </w:r>
          </w:p>
        </w:tc>
        <w:tc>
          <w:tcPr>
            <w:tcW w:w="300" w:type="dxa"/>
            <w:vAlign w:val="bottom"/>
            <w:tcBorders>
              <w:bottom w:val="single" w:sz="8" w:color="EE4921"/>
            </w:tcBorders>
          </w:tcPr>
          <w:p>
            <w:pPr>
              <w:spacing w:after="0"/>
              <w:rPr>
                <w:sz w:val="15"/>
                <w:szCs w:val="15"/>
                <w:color w:val="auto"/>
              </w:rPr>
            </w:pPr>
          </w:p>
        </w:tc>
        <w:tc>
          <w:tcPr>
            <w:tcW w:w="92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171</w:t>
            </w:r>
          </w:p>
        </w:tc>
      </w:tr>
      <w:tr>
        <w:trPr>
          <w:trHeight w:val="181"/>
        </w:trPr>
        <w:tc>
          <w:tcPr>
            <w:tcW w:w="3460" w:type="dxa"/>
            <w:vAlign w:val="bottom"/>
            <w:tcBorders>
              <w:bottom w:val="single" w:sz="8" w:color="EE4921"/>
            </w:tcBorders>
          </w:tcPr>
          <w:p>
            <w:pPr>
              <w:ind w:left="280"/>
              <w:spacing w:after="0"/>
              <w:rPr>
                <w:sz w:val="20"/>
                <w:szCs w:val="20"/>
                <w:color w:val="auto"/>
              </w:rPr>
            </w:pPr>
            <w:r>
              <w:rPr>
                <w:rFonts w:ascii="Times New Roman" w:cs="Times New Roman" w:eastAsia="Times New Roman" w:hAnsi="Times New Roman"/>
                <w:sz w:val="14"/>
                <w:szCs w:val="14"/>
                <w:color w:val="535353"/>
              </w:rPr>
              <w:t>Other expenses</w:t>
            </w:r>
          </w:p>
        </w:tc>
        <w:tc>
          <w:tcPr>
            <w:tcW w:w="360" w:type="dxa"/>
            <w:vAlign w:val="bottom"/>
            <w:tcBorders>
              <w:bottom w:val="single" w:sz="8" w:color="EE4921"/>
            </w:tcBorders>
          </w:tcPr>
          <w:p>
            <w:pPr>
              <w:spacing w:after="0"/>
              <w:rPr>
                <w:sz w:val="15"/>
                <w:szCs w:val="15"/>
                <w:color w:val="auto"/>
              </w:rPr>
            </w:pPr>
          </w:p>
        </w:tc>
        <w:tc>
          <w:tcPr>
            <w:tcW w:w="1060" w:type="dxa"/>
            <w:vAlign w:val="bottom"/>
            <w:tcBorders>
              <w:bottom w:val="single" w:sz="8" w:color="EE4921"/>
            </w:tcBorders>
          </w:tcPr>
          <w:p>
            <w:pPr>
              <w:jc w:val="right"/>
              <w:ind w:right="149"/>
              <w:spacing w:after="0"/>
              <w:rPr>
                <w:sz w:val="20"/>
                <w:szCs w:val="20"/>
                <w:color w:val="auto"/>
              </w:rPr>
            </w:pPr>
            <w:r>
              <w:rPr>
                <w:rFonts w:ascii="Times New Roman" w:cs="Times New Roman" w:eastAsia="Times New Roman" w:hAnsi="Times New Roman"/>
                <w:sz w:val="14"/>
                <w:szCs w:val="14"/>
                <w:color w:val="535353"/>
              </w:rPr>
              <w:t>147</w:t>
            </w:r>
          </w:p>
        </w:tc>
        <w:tc>
          <w:tcPr>
            <w:tcW w:w="300" w:type="dxa"/>
            <w:vAlign w:val="bottom"/>
            <w:tcBorders>
              <w:bottom w:val="single" w:sz="8" w:color="EE4921"/>
            </w:tcBorders>
          </w:tcPr>
          <w:p>
            <w:pPr>
              <w:spacing w:after="0"/>
              <w:rPr>
                <w:sz w:val="15"/>
                <w:szCs w:val="15"/>
                <w:color w:val="auto"/>
              </w:rPr>
            </w:pPr>
          </w:p>
        </w:tc>
        <w:tc>
          <w:tcPr>
            <w:tcW w:w="92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202</w:t>
            </w:r>
          </w:p>
        </w:tc>
      </w:tr>
      <w:tr>
        <w:trPr>
          <w:trHeight w:val="181"/>
        </w:trPr>
        <w:tc>
          <w:tcPr>
            <w:tcW w:w="3460" w:type="dxa"/>
            <w:vAlign w:val="bottom"/>
            <w:tcBorders>
              <w:bottom w:val="single" w:sz="8" w:color="EE4921"/>
            </w:tcBorders>
          </w:tcPr>
          <w:p>
            <w:pPr>
              <w:ind w:left="280"/>
              <w:spacing w:after="0"/>
              <w:rPr>
                <w:sz w:val="20"/>
                <w:szCs w:val="20"/>
                <w:color w:val="auto"/>
              </w:rPr>
            </w:pPr>
            <w:r>
              <w:rPr>
                <w:rFonts w:ascii="Times New Roman" w:cs="Times New Roman" w:eastAsia="Times New Roman" w:hAnsi="Times New Roman"/>
                <w:sz w:val="14"/>
                <w:szCs w:val="14"/>
                <w:color w:val="535353"/>
              </w:rPr>
              <w:t>Depreciation</w:t>
            </w:r>
          </w:p>
        </w:tc>
        <w:tc>
          <w:tcPr>
            <w:tcW w:w="360" w:type="dxa"/>
            <w:vAlign w:val="bottom"/>
            <w:tcBorders>
              <w:bottom w:val="single" w:sz="8" w:color="EE4921"/>
            </w:tcBorders>
          </w:tcPr>
          <w:p>
            <w:pPr>
              <w:spacing w:after="0"/>
              <w:rPr>
                <w:sz w:val="15"/>
                <w:szCs w:val="15"/>
                <w:color w:val="auto"/>
              </w:rPr>
            </w:pPr>
          </w:p>
        </w:tc>
        <w:tc>
          <w:tcPr>
            <w:tcW w:w="1060" w:type="dxa"/>
            <w:vAlign w:val="bottom"/>
            <w:tcBorders>
              <w:bottom w:val="single" w:sz="8" w:color="EE4921"/>
            </w:tcBorders>
          </w:tcPr>
          <w:p>
            <w:pPr>
              <w:jc w:val="right"/>
              <w:ind w:right="149"/>
              <w:spacing w:after="0"/>
              <w:rPr>
                <w:sz w:val="20"/>
                <w:szCs w:val="20"/>
                <w:color w:val="auto"/>
              </w:rPr>
            </w:pPr>
            <w:r>
              <w:rPr>
                <w:rFonts w:ascii="Times New Roman" w:cs="Times New Roman" w:eastAsia="Times New Roman" w:hAnsi="Times New Roman"/>
                <w:sz w:val="14"/>
                <w:szCs w:val="14"/>
                <w:color w:val="535353"/>
              </w:rPr>
              <w:t>3</w:t>
            </w:r>
          </w:p>
        </w:tc>
        <w:tc>
          <w:tcPr>
            <w:tcW w:w="300" w:type="dxa"/>
            <w:vAlign w:val="bottom"/>
            <w:tcBorders>
              <w:bottom w:val="single" w:sz="8" w:color="EE4921"/>
            </w:tcBorders>
          </w:tcPr>
          <w:p>
            <w:pPr>
              <w:spacing w:after="0"/>
              <w:rPr>
                <w:sz w:val="15"/>
                <w:szCs w:val="15"/>
                <w:color w:val="auto"/>
              </w:rPr>
            </w:pPr>
          </w:p>
        </w:tc>
        <w:tc>
          <w:tcPr>
            <w:tcW w:w="92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6</w:t>
            </w:r>
          </w:p>
        </w:tc>
      </w:tr>
      <w:tr>
        <w:trPr>
          <w:trHeight w:val="181"/>
        </w:trPr>
        <w:tc>
          <w:tcPr>
            <w:tcW w:w="3460" w:type="dxa"/>
            <w:vAlign w:val="bottom"/>
            <w:tcBorders>
              <w:bottom w:val="single" w:sz="8" w:color="EE4921"/>
            </w:tcBorders>
          </w:tcPr>
          <w:p>
            <w:pPr>
              <w:ind w:left="280"/>
              <w:spacing w:after="0"/>
              <w:rPr>
                <w:sz w:val="20"/>
                <w:szCs w:val="20"/>
                <w:color w:val="auto"/>
              </w:rPr>
            </w:pPr>
            <w:r>
              <w:rPr>
                <w:rFonts w:ascii="Times New Roman" w:cs="Times New Roman" w:eastAsia="Times New Roman" w:hAnsi="Times New Roman"/>
                <w:sz w:val="14"/>
                <w:szCs w:val="14"/>
                <w:color w:val="535353"/>
              </w:rPr>
              <w:t>Other services</w:t>
            </w:r>
          </w:p>
        </w:tc>
        <w:tc>
          <w:tcPr>
            <w:tcW w:w="360" w:type="dxa"/>
            <w:vAlign w:val="bottom"/>
            <w:tcBorders>
              <w:bottom w:val="single" w:sz="8" w:color="EE4921"/>
            </w:tcBorders>
          </w:tcPr>
          <w:p>
            <w:pPr>
              <w:spacing w:after="0"/>
              <w:rPr>
                <w:sz w:val="15"/>
                <w:szCs w:val="15"/>
                <w:color w:val="auto"/>
              </w:rPr>
            </w:pPr>
          </w:p>
        </w:tc>
        <w:tc>
          <w:tcPr>
            <w:tcW w:w="1060" w:type="dxa"/>
            <w:vAlign w:val="bottom"/>
            <w:tcBorders>
              <w:bottom w:val="single" w:sz="8" w:color="EE4921"/>
            </w:tcBorders>
          </w:tcPr>
          <w:p>
            <w:pPr>
              <w:jc w:val="right"/>
              <w:ind w:right="149"/>
              <w:spacing w:after="0"/>
              <w:rPr>
                <w:sz w:val="20"/>
                <w:szCs w:val="20"/>
                <w:color w:val="auto"/>
              </w:rPr>
            </w:pPr>
            <w:r>
              <w:rPr>
                <w:rFonts w:ascii="Times New Roman" w:cs="Times New Roman" w:eastAsia="Times New Roman" w:hAnsi="Times New Roman"/>
                <w:sz w:val="14"/>
                <w:szCs w:val="14"/>
                <w:color w:val="535353"/>
              </w:rPr>
              <w:t>832</w:t>
            </w:r>
          </w:p>
        </w:tc>
        <w:tc>
          <w:tcPr>
            <w:tcW w:w="300" w:type="dxa"/>
            <w:vAlign w:val="bottom"/>
            <w:tcBorders>
              <w:bottom w:val="single" w:sz="8" w:color="EE4921"/>
            </w:tcBorders>
          </w:tcPr>
          <w:p>
            <w:pPr>
              <w:spacing w:after="0"/>
              <w:rPr>
                <w:sz w:val="15"/>
                <w:szCs w:val="15"/>
                <w:color w:val="auto"/>
              </w:rPr>
            </w:pPr>
          </w:p>
        </w:tc>
        <w:tc>
          <w:tcPr>
            <w:tcW w:w="92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712</w:t>
            </w:r>
          </w:p>
        </w:tc>
      </w:tr>
      <w:tr>
        <w:trPr>
          <w:trHeight w:val="181"/>
        </w:trPr>
        <w:tc>
          <w:tcPr>
            <w:tcW w:w="3460" w:type="dxa"/>
            <w:vAlign w:val="bottom"/>
            <w:tcBorders>
              <w:bottom w:val="single" w:sz="8" w:color="EE4921"/>
            </w:tcBorders>
          </w:tcPr>
          <w:p>
            <w:pPr>
              <w:ind w:left="280"/>
              <w:spacing w:after="0"/>
              <w:rPr>
                <w:sz w:val="20"/>
                <w:szCs w:val="20"/>
                <w:color w:val="auto"/>
              </w:rPr>
            </w:pPr>
            <w:r>
              <w:rPr>
                <w:rFonts w:ascii="Times New Roman" w:cs="Times New Roman" w:eastAsia="Times New Roman" w:hAnsi="Times New Roman"/>
                <w:sz w:val="14"/>
                <w:szCs w:val="14"/>
                <w:color w:val="535353"/>
              </w:rPr>
              <w:t>Merchant-related fees</w:t>
            </w:r>
          </w:p>
        </w:tc>
        <w:tc>
          <w:tcPr>
            <w:tcW w:w="360" w:type="dxa"/>
            <w:vAlign w:val="bottom"/>
            <w:tcBorders>
              <w:bottom w:val="single" w:sz="8" w:color="EE4921"/>
            </w:tcBorders>
          </w:tcPr>
          <w:p>
            <w:pPr>
              <w:spacing w:after="0"/>
              <w:rPr>
                <w:sz w:val="15"/>
                <w:szCs w:val="15"/>
                <w:color w:val="auto"/>
              </w:rPr>
            </w:pPr>
          </w:p>
        </w:tc>
        <w:tc>
          <w:tcPr>
            <w:tcW w:w="1060" w:type="dxa"/>
            <w:vAlign w:val="bottom"/>
            <w:tcBorders>
              <w:bottom w:val="single" w:sz="8" w:color="EE4921"/>
            </w:tcBorders>
          </w:tcPr>
          <w:p>
            <w:pPr>
              <w:jc w:val="right"/>
              <w:ind w:right="149"/>
              <w:spacing w:after="0"/>
              <w:rPr>
                <w:sz w:val="20"/>
                <w:szCs w:val="20"/>
                <w:color w:val="auto"/>
              </w:rPr>
            </w:pPr>
            <w:r>
              <w:rPr>
                <w:rFonts w:ascii="Times New Roman" w:cs="Times New Roman" w:eastAsia="Times New Roman" w:hAnsi="Times New Roman"/>
                <w:sz w:val="14"/>
                <w:szCs w:val="14"/>
                <w:color w:val="535353"/>
              </w:rPr>
              <w:t>240</w:t>
            </w:r>
          </w:p>
        </w:tc>
        <w:tc>
          <w:tcPr>
            <w:tcW w:w="300" w:type="dxa"/>
            <w:vAlign w:val="bottom"/>
            <w:tcBorders>
              <w:bottom w:val="single" w:sz="8" w:color="EE4921"/>
            </w:tcBorders>
          </w:tcPr>
          <w:p>
            <w:pPr>
              <w:spacing w:after="0"/>
              <w:rPr>
                <w:sz w:val="15"/>
                <w:szCs w:val="15"/>
                <w:color w:val="auto"/>
              </w:rPr>
            </w:pPr>
          </w:p>
        </w:tc>
        <w:tc>
          <w:tcPr>
            <w:tcW w:w="92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142</w:t>
            </w:r>
          </w:p>
        </w:tc>
      </w:tr>
      <w:tr>
        <w:trPr>
          <w:trHeight w:val="181"/>
        </w:trPr>
        <w:tc>
          <w:tcPr>
            <w:tcW w:w="3460" w:type="dxa"/>
            <w:vAlign w:val="bottom"/>
            <w:tcBorders>
              <w:bottom w:val="single" w:sz="8" w:color="EE4921"/>
            </w:tcBorders>
          </w:tcPr>
          <w:p>
            <w:pPr>
              <w:ind w:left="140"/>
              <w:spacing w:after="0"/>
              <w:rPr>
                <w:sz w:val="20"/>
                <w:szCs w:val="20"/>
                <w:color w:val="auto"/>
              </w:rPr>
            </w:pPr>
            <w:r>
              <w:rPr>
                <w:rFonts w:ascii="Times New Roman" w:cs="Times New Roman" w:eastAsia="Times New Roman" w:hAnsi="Times New Roman"/>
                <w:sz w:val="14"/>
                <w:szCs w:val="14"/>
                <w:color w:val="535353"/>
              </w:rPr>
              <w:t>Contribution</w:t>
            </w:r>
          </w:p>
        </w:tc>
        <w:tc>
          <w:tcPr>
            <w:tcW w:w="360" w:type="dxa"/>
            <w:vAlign w:val="bottom"/>
            <w:tcBorders>
              <w:bottom w:val="single" w:sz="8" w:color="EE4921"/>
            </w:tcBorders>
          </w:tcPr>
          <w:p>
            <w:pPr>
              <w:jc w:val="right"/>
              <w:ind w:right="9"/>
              <w:spacing w:after="0"/>
              <w:rPr>
                <w:sz w:val="20"/>
                <w:szCs w:val="20"/>
                <w:color w:val="auto"/>
              </w:rPr>
            </w:pPr>
            <w:r>
              <w:rPr>
                <w:rFonts w:ascii="Times New Roman" w:cs="Times New Roman" w:eastAsia="Times New Roman" w:hAnsi="Times New Roman"/>
                <w:sz w:val="14"/>
                <w:szCs w:val="14"/>
                <w:color w:val="535353"/>
              </w:rPr>
              <w:t>$</w:t>
            </w:r>
          </w:p>
        </w:tc>
        <w:tc>
          <w:tcPr>
            <w:tcW w:w="1060" w:type="dxa"/>
            <w:vAlign w:val="bottom"/>
            <w:tcBorders>
              <w:bottom w:val="single" w:sz="8" w:color="EE4921"/>
            </w:tcBorders>
          </w:tcPr>
          <w:p>
            <w:pPr>
              <w:jc w:val="right"/>
              <w:ind w:right="149"/>
              <w:spacing w:after="0"/>
              <w:rPr>
                <w:sz w:val="20"/>
                <w:szCs w:val="20"/>
                <w:color w:val="auto"/>
              </w:rPr>
            </w:pPr>
            <w:r>
              <w:rPr>
                <w:rFonts w:ascii="Times New Roman" w:cs="Times New Roman" w:eastAsia="Times New Roman" w:hAnsi="Times New Roman"/>
                <w:sz w:val="14"/>
                <w:szCs w:val="14"/>
                <w:color w:val="535353"/>
              </w:rPr>
              <w:t>48,664</w:t>
            </w:r>
          </w:p>
        </w:tc>
        <w:tc>
          <w:tcPr>
            <w:tcW w:w="30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w:t>
            </w:r>
          </w:p>
        </w:tc>
        <w:tc>
          <w:tcPr>
            <w:tcW w:w="920" w:type="dxa"/>
            <w:vAlign w:val="bottom"/>
            <w:tcBorders>
              <w:bottom w:val="single" w:sz="8" w:color="EE4921"/>
            </w:tcBorders>
          </w:tcPr>
          <w:p>
            <w:pPr>
              <w:jc w:val="right"/>
              <w:ind w:right="109"/>
              <w:spacing w:after="0"/>
              <w:rPr>
                <w:sz w:val="20"/>
                <w:szCs w:val="20"/>
                <w:color w:val="auto"/>
              </w:rPr>
            </w:pPr>
            <w:r>
              <w:rPr>
                <w:rFonts w:ascii="Times New Roman" w:cs="Times New Roman" w:eastAsia="Times New Roman" w:hAnsi="Times New Roman"/>
                <w:sz w:val="14"/>
                <w:szCs w:val="14"/>
                <w:color w:val="535353"/>
              </w:rPr>
              <w:t>43,982</w:t>
            </w:r>
          </w:p>
        </w:tc>
      </w:tr>
      <w:tr>
        <w:trPr>
          <w:trHeight w:val="181"/>
        </w:trPr>
        <w:tc>
          <w:tcPr>
            <w:tcW w:w="3460" w:type="dxa"/>
            <w:vAlign w:val="bottom"/>
            <w:tcBorders>
              <w:bottom w:val="single" w:sz="8" w:color="EE4921"/>
            </w:tcBorders>
          </w:tcPr>
          <w:p>
            <w:pPr>
              <w:ind w:left="140"/>
              <w:spacing w:after="0"/>
              <w:rPr>
                <w:sz w:val="20"/>
                <w:szCs w:val="20"/>
                <w:color w:val="auto"/>
              </w:rPr>
            </w:pPr>
            <w:r>
              <w:rPr>
                <w:rFonts w:ascii="Times New Roman" w:cs="Times New Roman" w:eastAsia="Times New Roman" w:hAnsi="Times New Roman"/>
                <w:sz w:val="14"/>
                <w:szCs w:val="14"/>
                <w:color w:val="535353"/>
              </w:rPr>
              <w:t>Gross margin</w:t>
            </w:r>
          </w:p>
        </w:tc>
        <w:tc>
          <w:tcPr>
            <w:tcW w:w="360" w:type="dxa"/>
            <w:vAlign w:val="bottom"/>
            <w:tcBorders>
              <w:bottom w:val="single" w:sz="8" w:color="EE4921"/>
            </w:tcBorders>
          </w:tcPr>
          <w:p>
            <w:pPr>
              <w:spacing w:after="0"/>
              <w:rPr>
                <w:sz w:val="15"/>
                <w:szCs w:val="15"/>
                <w:color w:val="auto"/>
              </w:rPr>
            </w:pPr>
          </w:p>
        </w:tc>
        <w:tc>
          <w:tcPr>
            <w:tcW w:w="106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15.1 %</w:t>
            </w:r>
          </w:p>
        </w:tc>
        <w:tc>
          <w:tcPr>
            <w:tcW w:w="300" w:type="dxa"/>
            <w:vAlign w:val="bottom"/>
            <w:tcBorders>
              <w:bottom w:val="single" w:sz="8" w:color="EE4921"/>
            </w:tcBorders>
          </w:tcPr>
          <w:p>
            <w:pPr>
              <w:spacing w:after="0"/>
              <w:rPr>
                <w:sz w:val="15"/>
                <w:szCs w:val="15"/>
                <w:color w:val="auto"/>
              </w:rPr>
            </w:pPr>
          </w:p>
        </w:tc>
        <w:tc>
          <w:tcPr>
            <w:tcW w:w="92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15.8 %</w:t>
            </w:r>
          </w:p>
        </w:tc>
      </w:tr>
      <w:tr>
        <w:trPr>
          <w:trHeight w:val="181"/>
        </w:trPr>
        <w:tc>
          <w:tcPr>
            <w:tcW w:w="3460" w:type="dxa"/>
            <w:vAlign w:val="bottom"/>
            <w:tcBorders>
              <w:bottom w:val="single" w:sz="8" w:color="EE4921"/>
            </w:tcBorders>
          </w:tcPr>
          <w:p>
            <w:pPr>
              <w:ind w:left="140"/>
              <w:spacing w:after="0"/>
              <w:rPr>
                <w:sz w:val="20"/>
                <w:szCs w:val="20"/>
                <w:color w:val="auto"/>
              </w:rPr>
            </w:pPr>
            <w:r>
              <w:rPr>
                <w:rFonts w:ascii="Times New Roman" w:cs="Times New Roman" w:eastAsia="Times New Roman" w:hAnsi="Times New Roman"/>
                <w:sz w:val="14"/>
                <w:szCs w:val="14"/>
                <w:color w:val="535353"/>
              </w:rPr>
              <w:t>Contribution Margin</w:t>
            </w:r>
          </w:p>
        </w:tc>
        <w:tc>
          <w:tcPr>
            <w:tcW w:w="360" w:type="dxa"/>
            <w:vAlign w:val="bottom"/>
            <w:tcBorders>
              <w:bottom w:val="single" w:sz="8" w:color="EE4921"/>
            </w:tcBorders>
          </w:tcPr>
          <w:p>
            <w:pPr>
              <w:spacing w:after="0"/>
              <w:rPr>
                <w:sz w:val="15"/>
                <w:szCs w:val="15"/>
                <w:color w:val="auto"/>
              </w:rPr>
            </w:pPr>
          </w:p>
        </w:tc>
        <w:tc>
          <w:tcPr>
            <w:tcW w:w="106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15.7 %</w:t>
            </w:r>
          </w:p>
        </w:tc>
        <w:tc>
          <w:tcPr>
            <w:tcW w:w="300" w:type="dxa"/>
            <w:vAlign w:val="bottom"/>
            <w:tcBorders>
              <w:bottom w:val="single" w:sz="8" w:color="EE4921"/>
            </w:tcBorders>
          </w:tcPr>
          <w:p>
            <w:pPr>
              <w:spacing w:after="0"/>
              <w:rPr>
                <w:sz w:val="15"/>
                <w:szCs w:val="15"/>
                <w:color w:val="auto"/>
              </w:rPr>
            </w:pPr>
          </w:p>
        </w:tc>
        <w:tc>
          <w:tcPr>
            <w:tcW w:w="92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16.6 %</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14"/>
          <w:szCs w:val="14"/>
          <w:color w:val="F36D4D"/>
        </w:rPr>
        <w:t>12</w:t>
      </w:r>
    </w:p>
    <w:p>
      <w:pPr>
        <w:sectPr>
          <w:pgSz w:w="11900" w:h="16838" w:orient="portrait"/>
          <w:cols w:equalWidth="0" w:num="1">
            <w:col w:w="11240"/>
          </w:cols>
          <w:pgMar w:left="320" w:top="817"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38"/>
          <w:szCs w:val="38"/>
          <w:b w:val="1"/>
          <w:bCs w:val="1"/>
          <w:color w:val="535353"/>
        </w:rPr>
        <w:drawing>
          <wp:anchor simplePos="0" relativeHeight="251657728" behindDoc="1" locked="0" layoutInCell="0" allowOverlap="1">
            <wp:simplePos x="0" y="0"/>
            <wp:positionH relativeFrom="page">
              <wp:posOffset>7101205</wp:posOffset>
            </wp:positionH>
            <wp:positionV relativeFrom="page">
              <wp:posOffset>88900</wp:posOffset>
            </wp:positionV>
            <wp:extent cx="247650" cy="2101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47650" cy="210185"/>
                    </a:xfrm>
                    <a:prstGeom prst="rect">
                      <a:avLst/>
                    </a:prstGeom>
                    <a:noFill/>
                  </pic:spPr>
                </pic:pic>
              </a:graphicData>
            </a:graphic>
          </wp:anchor>
        </w:drawing>
        <w:t>Adjusted EBITDA to Net Income (Loss)</w:t>
      </w:r>
    </w:p>
    <w:p>
      <w:pPr>
        <w:spacing w:after="0" w:line="1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707070"/>
        </w:rPr>
        <w:t>We define “Adjusted EBITDA” as net income (loss) excluding interest expense, income tax expense (benefit), depreciation expense on property and equipment, amortization of intangible assets, as well as equity-based compensation expense and certain other adjustments as listed in the table below. We define “Adjusted EBITDA Margin” as Adjusted EBITDA as a percentage of revenue. Adjusted EBITDA is a non-GAAP financial measure that we present to supplement the financial information we present on a GAAP basis. We monitor and present Adjusted EBITDA because it is a key measure used by our management to understand and evaluate our operating performance, to establish budgets and to develop operational goals for managing our business. We believe that Adjusted EBITDA helps identify underlying trends in our business that could otherwise be masked by the effect of the expenses that we exclude in the calculations of Adjusted EBITDA. Accordingly, we believe that Adjusted EBITDA provides useful information to investors and others in understanding and evaluating our operating results, enhancing the overall understanding of our past performance and future prospects. In addition, presenting Adjusted EBITDA provides investors with a metric to evaluate the capital efficiency of our business. Adjusted EBITDA is not presented in accordance with GAAP and should not be considered in isolation of, or as an alternative to, measures presented in accordance with GAAP. There are a number of limitations related to the use of Adjusted EBITDA rather than net income, which is the most directly comparable financial measure calculated and presented in accordance with GAAP. These limitations include the fact that Adjusted EBITDA excludes interest expense on debt, income tax expense (benefit), equity-based compensation expense, depreciation and amortization, and certain other adjustments that we consider to be useful to investors and others in understanding and evaluating our operating results. In addition, other companies may use other measures to evaluate their performance, including different definitions of “Adjusted EBITDA,” which could reduce the usefulness of our Adjusted EBITDA as a tool for comparison.</w:t>
      </w:r>
    </w:p>
    <w:p>
      <w:pPr>
        <w:spacing w:after="0" w:line="6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4"/>
          <w:szCs w:val="14"/>
          <w:color w:val="707070"/>
        </w:rPr>
        <w:t>The following table reconciles Adjusted EBITDA with net income (loss), the most directly comparable financial measure calculated and presented in accordance with GAAP, for the three months ended March 31, 2026 and 2025:</w:t>
      </w:r>
    </w:p>
    <w:p>
      <w:pPr>
        <w:spacing w:after="0" w:line="18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b w:val="1"/>
          <w:bCs w:val="1"/>
          <w:color w:val="535353"/>
        </w:rPr>
        <w:t>Three Months Ended March 31,</w:t>
      </w:r>
    </w:p>
    <w:p>
      <w:pPr>
        <w:spacing w:after="0" w:line="28" w:lineRule="exact"/>
        <w:rPr>
          <w:sz w:val="20"/>
          <w:szCs w:val="20"/>
          <w:color w:val="auto"/>
        </w:rPr>
      </w:pPr>
    </w:p>
    <w:tbl>
      <w:tblPr>
        <w:tblLayout w:type="fixed"/>
        <w:tblInd w:w="2580" w:type="dxa"/>
        <w:tblCellMar>
          <w:top w:w="0" w:type="dxa"/>
          <w:left w:w="0" w:type="dxa"/>
          <w:bottom w:w="0" w:type="dxa"/>
          <w:right w:w="0" w:type="dxa"/>
        </w:tblCellMar>
      </w:tblPr>
      <w:tr>
        <w:trPr>
          <w:trHeight w:val="189"/>
        </w:trPr>
        <w:tc>
          <w:tcPr>
            <w:tcW w:w="342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3"/>
                <w:szCs w:val="13"/>
                <w:b w:val="1"/>
                <w:bCs w:val="1"/>
                <w:color w:val="535353"/>
              </w:rPr>
              <w:t>(in thousands)</w:t>
            </w:r>
          </w:p>
        </w:tc>
        <w:tc>
          <w:tcPr>
            <w:tcW w:w="660" w:type="dxa"/>
            <w:vAlign w:val="bottom"/>
            <w:tcBorders>
              <w:bottom w:val="single" w:sz="8" w:color="EE4921"/>
            </w:tcBorders>
          </w:tcPr>
          <w:p>
            <w:pPr>
              <w:spacing w:after="0"/>
              <w:rPr>
                <w:sz w:val="16"/>
                <w:szCs w:val="16"/>
                <w:color w:val="auto"/>
              </w:rPr>
            </w:pPr>
          </w:p>
        </w:tc>
        <w:tc>
          <w:tcPr>
            <w:tcW w:w="880" w:type="dxa"/>
            <w:vAlign w:val="bottom"/>
            <w:tcBorders>
              <w:bottom w:val="single" w:sz="8" w:color="EE4921"/>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535353"/>
              </w:rPr>
              <w:t>2026</w:t>
            </w:r>
          </w:p>
        </w:tc>
        <w:tc>
          <w:tcPr>
            <w:tcW w:w="300" w:type="dxa"/>
            <w:vAlign w:val="bottom"/>
            <w:tcBorders>
              <w:bottom w:val="single" w:sz="8" w:color="EE4921"/>
            </w:tcBorders>
          </w:tcPr>
          <w:p>
            <w:pPr>
              <w:spacing w:after="0"/>
              <w:rPr>
                <w:sz w:val="16"/>
                <w:szCs w:val="16"/>
                <w:color w:val="auto"/>
              </w:rPr>
            </w:pPr>
          </w:p>
        </w:tc>
        <w:tc>
          <w:tcPr>
            <w:tcW w:w="840" w:type="dxa"/>
            <w:vAlign w:val="bottom"/>
            <w:tcBorders>
              <w:bottom w:val="single" w:sz="8" w:color="EE4921"/>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535353"/>
              </w:rPr>
              <w:t>2025</w:t>
            </w:r>
          </w:p>
        </w:tc>
      </w:tr>
      <w:tr>
        <w:trPr>
          <w:trHeight w:val="181"/>
        </w:trPr>
        <w:tc>
          <w:tcPr>
            <w:tcW w:w="3420" w:type="dxa"/>
            <w:vAlign w:val="bottom"/>
            <w:tcBorders>
              <w:bottom w:val="single" w:sz="8" w:color="EE4921"/>
            </w:tcBorders>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660" w:type="dxa"/>
            <w:vAlign w:val="bottom"/>
            <w:tcBorders>
              <w:bottom w:val="single" w:sz="8" w:color="EE4921"/>
            </w:tcBorders>
          </w:tcPr>
          <w:p>
            <w:pPr>
              <w:jc w:val="right"/>
              <w:ind w:right="89"/>
              <w:spacing w:after="0"/>
              <w:rPr>
                <w:sz w:val="20"/>
                <w:szCs w:val="20"/>
                <w:color w:val="auto"/>
              </w:rPr>
            </w:pPr>
            <w:r>
              <w:rPr>
                <w:rFonts w:ascii="Times New Roman" w:cs="Times New Roman" w:eastAsia="Times New Roman" w:hAnsi="Times New Roman"/>
                <w:sz w:val="14"/>
                <w:szCs w:val="14"/>
                <w:color w:val="535353"/>
              </w:rPr>
              <w:t>$</w:t>
            </w:r>
          </w:p>
        </w:tc>
        <w:tc>
          <w:tcPr>
            <w:tcW w:w="880" w:type="dxa"/>
            <w:vAlign w:val="bottom"/>
            <w:tcBorders>
              <w:bottom w:val="single" w:sz="8" w:color="EE4921"/>
            </w:tcBorders>
          </w:tcPr>
          <w:p>
            <w:pPr>
              <w:jc w:val="right"/>
              <w:ind w:right="9"/>
              <w:spacing w:after="0"/>
              <w:rPr>
                <w:sz w:val="20"/>
                <w:szCs w:val="20"/>
                <w:color w:val="auto"/>
              </w:rPr>
            </w:pPr>
            <w:r>
              <w:rPr>
                <w:rFonts w:ascii="Times New Roman" w:cs="Times New Roman" w:eastAsia="Times New Roman" w:hAnsi="Times New Roman"/>
                <w:sz w:val="14"/>
                <w:szCs w:val="14"/>
                <w:color w:val="535353"/>
              </w:rPr>
              <w:t>14,046</w:t>
            </w:r>
          </w:p>
        </w:tc>
        <w:tc>
          <w:tcPr>
            <w:tcW w:w="300" w:type="dxa"/>
            <w:vAlign w:val="bottom"/>
            <w:tcBorders>
              <w:bottom w:val="single" w:sz="8" w:color="EE4921"/>
            </w:tcBorders>
          </w:tcPr>
          <w:p>
            <w:pPr>
              <w:jc w:val="right"/>
              <w:ind w:right="89"/>
              <w:spacing w:after="0"/>
              <w:rPr>
                <w:sz w:val="20"/>
                <w:szCs w:val="20"/>
                <w:color w:val="auto"/>
              </w:rPr>
            </w:pPr>
            <w:r>
              <w:rPr>
                <w:rFonts w:ascii="Times New Roman" w:cs="Times New Roman" w:eastAsia="Times New Roman" w:hAnsi="Times New Roman"/>
                <w:sz w:val="14"/>
                <w:szCs w:val="14"/>
                <w:color w:val="535353"/>
              </w:rPr>
              <w:t>$</w:t>
            </w:r>
          </w:p>
        </w:tc>
        <w:tc>
          <w:tcPr>
            <w:tcW w:w="84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(2,334)</w:t>
            </w:r>
          </w:p>
        </w:tc>
      </w:tr>
      <w:tr>
        <w:trPr>
          <w:trHeight w:val="181"/>
        </w:trPr>
        <w:tc>
          <w:tcPr>
            <w:tcW w:w="3420" w:type="dxa"/>
            <w:vAlign w:val="bottom"/>
            <w:tcBorders>
              <w:bottom w:val="single" w:sz="8" w:color="EE4921"/>
            </w:tcBorders>
          </w:tcPr>
          <w:p>
            <w:pPr>
              <w:ind w:left="20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660" w:type="dxa"/>
            <w:vAlign w:val="bottom"/>
            <w:tcBorders>
              <w:bottom w:val="single" w:sz="8" w:color="EE4921"/>
            </w:tcBorders>
          </w:tcPr>
          <w:p>
            <w:pPr>
              <w:spacing w:after="0"/>
              <w:rPr>
                <w:sz w:val="15"/>
                <w:szCs w:val="15"/>
                <w:color w:val="auto"/>
              </w:rPr>
            </w:pPr>
          </w:p>
        </w:tc>
        <w:tc>
          <w:tcPr>
            <w:tcW w:w="880" w:type="dxa"/>
            <w:vAlign w:val="bottom"/>
            <w:tcBorders>
              <w:bottom w:val="single" w:sz="8" w:color="EE4921"/>
            </w:tcBorders>
          </w:tcPr>
          <w:p>
            <w:pPr>
              <w:jc w:val="right"/>
              <w:ind w:right="9"/>
              <w:spacing w:after="0"/>
              <w:rPr>
                <w:sz w:val="20"/>
                <w:szCs w:val="20"/>
                <w:color w:val="auto"/>
              </w:rPr>
            </w:pPr>
            <w:r>
              <w:rPr>
                <w:rFonts w:ascii="Times New Roman" w:cs="Times New Roman" w:eastAsia="Times New Roman" w:hAnsi="Times New Roman"/>
                <w:sz w:val="14"/>
                <w:szCs w:val="14"/>
                <w:color w:val="535353"/>
              </w:rPr>
              <w:t>7,259</w:t>
            </w:r>
          </w:p>
        </w:tc>
        <w:tc>
          <w:tcPr>
            <w:tcW w:w="300" w:type="dxa"/>
            <w:vAlign w:val="bottom"/>
            <w:tcBorders>
              <w:bottom w:val="single" w:sz="8" w:color="EE4921"/>
            </w:tcBorders>
          </w:tcPr>
          <w:p>
            <w:pPr>
              <w:spacing w:after="0"/>
              <w:rPr>
                <w:sz w:val="15"/>
                <w:szCs w:val="15"/>
                <w:color w:val="auto"/>
              </w:rPr>
            </w:pPr>
          </w:p>
        </w:tc>
        <w:tc>
          <w:tcPr>
            <w:tcW w:w="84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7,024</w:t>
            </w:r>
          </w:p>
        </w:tc>
      </w:tr>
      <w:tr>
        <w:trPr>
          <w:trHeight w:val="181"/>
        </w:trPr>
        <w:tc>
          <w:tcPr>
            <w:tcW w:w="3420" w:type="dxa"/>
            <w:vAlign w:val="bottom"/>
            <w:tcBorders>
              <w:bottom w:val="single" w:sz="8" w:color="EE4921"/>
            </w:tcBorders>
          </w:tcPr>
          <w:p>
            <w:pPr>
              <w:ind w:left="200"/>
              <w:spacing w:after="0"/>
              <w:rPr>
                <w:sz w:val="20"/>
                <w:szCs w:val="20"/>
                <w:color w:val="auto"/>
              </w:rPr>
            </w:pPr>
            <w:r>
              <w:rPr>
                <w:rFonts w:ascii="Times New Roman" w:cs="Times New Roman" w:eastAsia="Times New Roman" w:hAnsi="Times New Roman"/>
                <w:sz w:val="14"/>
                <w:szCs w:val="14"/>
                <w:color w:val="auto"/>
              </w:rPr>
              <w:t>Interest expense</w:t>
            </w:r>
          </w:p>
        </w:tc>
        <w:tc>
          <w:tcPr>
            <w:tcW w:w="660" w:type="dxa"/>
            <w:vAlign w:val="bottom"/>
            <w:tcBorders>
              <w:bottom w:val="single" w:sz="8" w:color="EE4921"/>
            </w:tcBorders>
          </w:tcPr>
          <w:p>
            <w:pPr>
              <w:spacing w:after="0"/>
              <w:rPr>
                <w:sz w:val="15"/>
                <w:szCs w:val="15"/>
                <w:color w:val="auto"/>
              </w:rPr>
            </w:pPr>
          </w:p>
        </w:tc>
        <w:tc>
          <w:tcPr>
            <w:tcW w:w="880" w:type="dxa"/>
            <w:vAlign w:val="bottom"/>
            <w:tcBorders>
              <w:bottom w:val="single" w:sz="8" w:color="EE4921"/>
            </w:tcBorders>
          </w:tcPr>
          <w:p>
            <w:pPr>
              <w:jc w:val="right"/>
              <w:ind w:right="9"/>
              <w:spacing w:after="0"/>
              <w:rPr>
                <w:sz w:val="20"/>
                <w:szCs w:val="20"/>
                <w:color w:val="auto"/>
              </w:rPr>
            </w:pPr>
            <w:r>
              <w:rPr>
                <w:rFonts w:ascii="Times New Roman" w:cs="Times New Roman" w:eastAsia="Times New Roman" w:hAnsi="Times New Roman"/>
                <w:sz w:val="14"/>
                <w:szCs w:val="14"/>
                <w:color w:val="535353"/>
              </w:rPr>
              <w:t>2,441</w:t>
            </w:r>
          </w:p>
        </w:tc>
        <w:tc>
          <w:tcPr>
            <w:tcW w:w="300" w:type="dxa"/>
            <w:vAlign w:val="bottom"/>
            <w:tcBorders>
              <w:bottom w:val="single" w:sz="8" w:color="EE4921"/>
            </w:tcBorders>
          </w:tcPr>
          <w:p>
            <w:pPr>
              <w:spacing w:after="0"/>
              <w:rPr>
                <w:sz w:val="15"/>
                <w:szCs w:val="15"/>
                <w:color w:val="auto"/>
              </w:rPr>
            </w:pPr>
          </w:p>
        </w:tc>
        <w:tc>
          <w:tcPr>
            <w:tcW w:w="84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2,955</w:t>
            </w:r>
          </w:p>
        </w:tc>
      </w:tr>
      <w:tr>
        <w:trPr>
          <w:trHeight w:val="181"/>
        </w:trPr>
        <w:tc>
          <w:tcPr>
            <w:tcW w:w="3420" w:type="dxa"/>
            <w:vAlign w:val="bottom"/>
            <w:tcBorders>
              <w:bottom w:val="single" w:sz="8" w:color="EE4921"/>
            </w:tcBorders>
          </w:tcPr>
          <w:p>
            <w:pPr>
              <w:ind w:left="20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660" w:type="dxa"/>
            <w:vAlign w:val="bottom"/>
            <w:tcBorders>
              <w:bottom w:val="single" w:sz="8" w:color="EE4921"/>
            </w:tcBorders>
          </w:tcPr>
          <w:p>
            <w:pPr>
              <w:spacing w:after="0"/>
              <w:rPr>
                <w:sz w:val="15"/>
                <w:szCs w:val="15"/>
                <w:color w:val="auto"/>
              </w:rPr>
            </w:pPr>
          </w:p>
        </w:tc>
        <w:tc>
          <w:tcPr>
            <w:tcW w:w="880" w:type="dxa"/>
            <w:vAlign w:val="bottom"/>
            <w:tcBorders>
              <w:bottom w:val="single" w:sz="8" w:color="EE4921"/>
            </w:tcBorders>
          </w:tcPr>
          <w:p>
            <w:pPr>
              <w:jc w:val="right"/>
              <w:ind w:right="9"/>
              <w:spacing w:after="0"/>
              <w:rPr>
                <w:sz w:val="20"/>
                <w:szCs w:val="20"/>
                <w:color w:val="auto"/>
              </w:rPr>
            </w:pPr>
            <w:r>
              <w:rPr>
                <w:rFonts w:ascii="Times New Roman" w:cs="Times New Roman" w:eastAsia="Times New Roman" w:hAnsi="Times New Roman"/>
                <w:sz w:val="14"/>
                <w:szCs w:val="14"/>
                <w:color w:val="535353"/>
              </w:rPr>
              <w:t>6,502</w:t>
            </w:r>
          </w:p>
        </w:tc>
        <w:tc>
          <w:tcPr>
            <w:tcW w:w="300" w:type="dxa"/>
            <w:vAlign w:val="bottom"/>
            <w:tcBorders>
              <w:bottom w:val="single" w:sz="8" w:color="EE4921"/>
            </w:tcBorders>
          </w:tcPr>
          <w:p>
            <w:pPr>
              <w:spacing w:after="0"/>
              <w:rPr>
                <w:sz w:val="15"/>
                <w:szCs w:val="15"/>
                <w:color w:val="auto"/>
              </w:rPr>
            </w:pPr>
          </w:p>
        </w:tc>
        <w:tc>
          <w:tcPr>
            <w:tcW w:w="84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(49)</w:t>
            </w:r>
          </w:p>
        </w:tc>
      </w:tr>
      <w:tr>
        <w:trPr>
          <w:trHeight w:val="181"/>
        </w:trPr>
        <w:tc>
          <w:tcPr>
            <w:tcW w:w="3420" w:type="dxa"/>
            <w:vAlign w:val="bottom"/>
            <w:tcBorders>
              <w:bottom w:val="single" w:sz="8" w:color="EE4921"/>
            </w:tcBorders>
          </w:tcPr>
          <w:p>
            <w:pPr>
              <w:ind w:left="200"/>
              <w:spacing w:after="0"/>
              <w:rPr>
                <w:sz w:val="20"/>
                <w:szCs w:val="20"/>
                <w:color w:val="auto"/>
              </w:rPr>
            </w:pPr>
            <w:r>
              <w:rPr>
                <w:rFonts w:ascii="Times New Roman" w:cs="Times New Roman" w:eastAsia="Times New Roman" w:hAnsi="Times New Roman"/>
                <w:sz w:val="14"/>
                <w:szCs w:val="14"/>
                <w:color w:val="auto"/>
              </w:rPr>
              <w:t>Depreciation expense on property and equipment</w:t>
            </w:r>
          </w:p>
        </w:tc>
        <w:tc>
          <w:tcPr>
            <w:tcW w:w="660" w:type="dxa"/>
            <w:vAlign w:val="bottom"/>
            <w:tcBorders>
              <w:bottom w:val="single" w:sz="8" w:color="EE4921"/>
            </w:tcBorders>
          </w:tcPr>
          <w:p>
            <w:pPr>
              <w:spacing w:after="0"/>
              <w:rPr>
                <w:sz w:val="15"/>
                <w:szCs w:val="15"/>
                <w:color w:val="auto"/>
              </w:rPr>
            </w:pPr>
          </w:p>
        </w:tc>
        <w:tc>
          <w:tcPr>
            <w:tcW w:w="880" w:type="dxa"/>
            <w:vAlign w:val="bottom"/>
            <w:tcBorders>
              <w:bottom w:val="single" w:sz="8" w:color="EE4921"/>
            </w:tcBorders>
          </w:tcPr>
          <w:p>
            <w:pPr>
              <w:jc w:val="right"/>
              <w:ind w:right="9"/>
              <w:spacing w:after="0"/>
              <w:rPr>
                <w:sz w:val="20"/>
                <w:szCs w:val="20"/>
                <w:color w:val="auto"/>
              </w:rPr>
            </w:pPr>
            <w:r>
              <w:rPr>
                <w:rFonts w:ascii="Times New Roman" w:cs="Times New Roman" w:eastAsia="Times New Roman" w:hAnsi="Times New Roman"/>
                <w:sz w:val="14"/>
                <w:szCs w:val="14"/>
                <w:color w:val="535353"/>
              </w:rPr>
              <w:t>74</w:t>
            </w:r>
          </w:p>
        </w:tc>
        <w:tc>
          <w:tcPr>
            <w:tcW w:w="300" w:type="dxa"/>
            <w:vAlign w:val="bottom"/>
            <w:tcBorders>
              <w:bottom w:val="single" w:sz="8" w:color="EE4921"/>
            </w:tcBorders>
          </w:tcPr>
          <w:p>
            <w:pPr>
              <w:spacing w:after="0"/>
              <w:rPr>
                <w:sz w:val="15"/>
                <w:szCs w:val="15"/>
                <w:color w:val="auto"/>
              </w:rPr>
            </w:pPr>
          </w:p>
        </w:tc>
        <w:tc>
          <w:tcPr>
            <w:tcW w:w="84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62</w:t>
            </w:r>
          </w:p>
        </w:tc>
      </w:tr>
      <w:tr>
        <w:trPr>
          <w:trHeight w:val="181"/>
        </w:trPr>
        <w:tc>
          <w:tcPr>
            <w:tcW w:w="3420" w:type="dxa"/>
            <w:vAlign w:val="bottom"/>
            <w:tcBorders>
              <w:bottom w:val="single" w:sz="8" w:color="EE4921"/>
            </w:tcBorders>
          </w:tcPr>
          <w:p>
            <w:pPr>
              <w:ind w:left="20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660" w:type="dxa"/>
            <w:vAlign w:val="bottom"/>
            <w:tcBorders>
              <w:bottom w:val="single" w:sz="8" w:color="EE4921"/>
            </w:tcBorders>
          </w:tcPr>
          <w:p>
            <w:pPr>
              <w:spacing w:after="0"/>
              <w:rPr>
                <w:sz w:val="15"/>
                <w:szCs w:val="15"/>
                <w:color w:val="auto"/>
              </w:rPr>
            </w:pPr>
          </w:p>
        </w:tc>
        <w:tc>
          <w:tcPr>
            <w:tcW w:w="880" w:type="dxa"/>
            <w:vAlign w:val="bottom"/>
            <w:tcBorders>
              <w:bottom w:val="single" w:sz="8" w:color="EE4921"/>
            </w:tcBorders>
          </w:tcPr>
          <w:p>
            <w:pPr>
              <w:jc w:val="right"/>
              <w:ind w:right="9"/>
              <w:spacing w:after="0"/>
              <w:rPr>
                <w:sz w:val="20"/>
                <w:szCs w:val="20"/>
                <w:color w:val="auto"/>
              </w:rPr>
            </w:pPr>
            <w:r>
              <w:rPr>
                <w:rFonts w:ascii="Times New Roman" w:cs="Times New Roman" w:eastAsia="Times New Roman" w:hAnsi="Times New Roman"/>
                <w:sz w:val="14"/>
                <w:szCs w:val="14"/>
                <w:color w:val="535353"/>
              </w:rPr>
              <w:t>477</w:t>
            </w:r>
          </w:p>
        </w:tc>
        <w:tc>
          <w:tcPr>
            <w:tcW w:w="300" w:type="dxa"/>
            <w:vAlign w:val="bottom"/>
            <w:tcBorders>
              <w:bottom w:val="single" w:sz="8" w:color="EE4921"/>
            </w:tcBorders>
          </w:tcPr>
          <w:p>
            <w:pPr>
              <w:spacing w:after="0"/>
              <w:rPr>
                <w:sz w:val="15"/>
                <w:szCs w:val="15"/>
                <w:color w:val="auto"/>
              </w:rPr>
            </w:pPr>
          </w:p>
        </w:tc>
        <w:tc>
          <w:tcPr>
            <w:tcW w:w="84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1,444</w:t>
            </w:r>
          </w:p>
        </w:tc>
      </w:tr>
      <w:tr>
        <w:trPr>
          <w:trHeight w:val="183"/>
        </w:trPr>
        <w:tc>
          <w:tcPr>
            <w:tcW w:w="3420" w:type="dxa"/>
            <w:vAlign w:val="bottom"/>
            <w:tcBorders>
              <w:bottom w:val="single" w:sz="8" w:color="EE4921"/>
            </w:tcBorders>
          </w:tcPr>
          <w:p>
            <w:pPr>
              <w:ind w:left="200"/>
              <w:spacing w:after="0" w:line="183" w:lineRule="exact"/>
              <w:rPr>
                <w:sz w:val="20"/>
                <w:szCs w:val="20"/>
                <w:color w:val="auto"/>
              </w:rPr>
            </w:pPr>
            <w:r>
              <w:rPr>
                <w:rFonts w:ascii="Times New Roman" w:cs="Times New Roman" w:eastAsia="Times New Roman" w:hAnsi="Times New Roman"/>
                <w:sz w:val="14"/>
                <w:szCs w:val="14"/>
                <w:color w:val="auto"/>
              </w:rPr>
              <w:t>Transaction expenses</w:t>
            </w:r>
            <w:r>
              <w:rPr>
                <w:rFonts w:ascii="Times New Roman" w:cs="Times New Roman" w:eastAsia="Times New Roman" w:hAnsi="Times New Roman"/>
                <w:sz w:val="18"/>
                <w:szCs w:val="18"/>
                <w:color w:val="auto"/>
                <w:vertAlign w:val="superscript"/>
              </w:rPr>
              <w:t>(1)</w:t>
            </w:r>
          </w:p>
        </w:tc>
        <w:tc>
          <w:tcPr>
            <w:tcW w:w="660" w:type="dxa"/>
            <w:vAlign w:val="bottom"/>
            <w:tcBorders>
              <w:bottom w:val="single" w:sz="8" w:color="EE4921"/>
            </w:tcBorders>
          </w:tcPr>
          <w:p>
            <w:pPr>
              <w:spacing w:after="0"/>
              <w:rPr>
                <w:sz w:val="15"/>
                <w:szCs w:val="15"/>
                <w:color w:val="auto"/>
              </w:rPr>
            </w:pPr>
          </w:p>
        </w:tc>
        <w:tc>
          <w:tcPr>
            <w:tcW w:w="880" w:type="dxa"/>
            <w:vAlign w:val="bottom"/>
            <w:tcBorders>
              <w:bottom w:val="single" w:sz="8" w:color="EE4921"/>
            </w:tcBorders>
          </w:tcPr>
          <w:p>
            <w:pPr>
              <w:jc w:val="right"/>
              <w:ind w:right="9"/>
              <w:spacing w:after="0"/>
              <w:rPr>
                <w:sz w:val="20"/>
                <w:szCs w:val="20"/>
                <w:color w:val="auto"/>
              </w:rPr>
            </w:pPr>
            <w:r>
              <w:rPr>
                <w:rFonts w:ascii="Times New Roman" w:cs="Times New Roman" w:eastAsia="Times New Roman" w:hAnsi="Times New Roman"/>
                <w:sz w:val="14"/>
                <w:szCs w:val="14"/>
                <w:color w:val="535353"/>
              </w:rPr>
              <w:t>1,298</w:t>
            </w:r>
          </w:p>
        </w:tc>
        <w:tc>
          <w:tcPr>
            <w:tcW w:w="300" w:type="dxa"/>
            <w:vAlign w:val="bottom"/>
            <w:tcBorders>
              <w:bottom w:val="single" w:sz="8" w:color="EE4921"/>
            </w:tcBorders>
          </w:tcPr>
          <w:p>
            <w:pPr>
              <w:spacing w:after="0"/>
              <w:rPr>
                <w:sz w:val="15"/>
                <w:szCs w:val="15"/>
                <w:color w:val="auto"/>
              </w:rPr>
            </w:pPr>
          </w:p>
        </w:tc>
        <w:tc>
          <w:tcPr>
            <w:tcW w:w="84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w:t>
            </w:r>
          </w:p>
        </w:tc>
      </w:tr>
      <w:tr>
        <w:trPr>
          <w:trHeight w:val="181"/>
        </w:trPr>
        <w:tc>
          <w:tcPr>
            <w:tcW w:w="3420" w:type="dxa"/>
            <w:vAlign w:val="bottom"/>
            <w:tcBorders>
              <w:bottom w:val="single" w:sz="8" w:color="EE4921"/>
            </w:tcBorders>
          </w:tcPr>
          <w:p>
            <w:pPr>
              <w:ind w:left="200"/>
              <w:spacing w:after="0" w:line="181" w:lineRule="exact"/>
              <w:rPr>
                <w:sz w:val="20"/>
                <w:szCs w:val="20"/>
                <w:color w:val="auto"/>
              </w:rPr>
            </w:pPr>
            <w:r>
              <w:rPr>
                <w:rFonts w:ascii="Times New Roman" w:cs="Times New Roman" w:eastAsia="Times New Roman" w:hAnsi="Times New Roman"/>
                <w:sz w:val="14"/>
                <w:szCs w:val="14"/>
                <w:color w:val="auto"/>
              </w:rPr>
              <w:t>Write-off of intangible assets</w:t>
            </w:r>
            <w:r>
              <w:rPr>
                <w:rFonts w:ascii="Times New Roman" w:cs="Times New Roman" w:eastAsia="Times New Roman" w:hAnsi="Times New Roman"/>
                <w:sz w:val="18"/>
                <w:szCs w:val="18"/>
                <w:color w:val="auto"/>
                <w:vertAlign w:val="superscript"/>
              </w:rPr>
              <w:t>(2)</w:t>
            </w:r>
          </w:p>
        </w:tc>
        <w:tc>
          <w:tcPr>
            <w:tcW w:w="660" w:type="dxa"/>
            <w:vAlign w:val="bottom"/>
            <w:tcBorders>
              <w:bottom w:val="single" w:sz="8" w:color="EE4921"/>
            </w:tcBorders>
          </w:tcPr>
          <w:p>
            <w:pPr>
              <w:spacing w:after="0"/>
              <w:rPr>
                <w:sz w:val="15"/>
                <w:szCs w:val="15"/>
                <w:color w:val="auto"/>
              </w:rPr>
            </w:pPr>
          </w:p>
        </w:tc>
        <w:tc>
          <w:tcPr>
            <w:tcW w:w="880" w:type="dxa"/>
            <w:vAlign w:val="bottom"/>
            <w:tcBorders>
              <w:bottom w:val="single" w:sz="8" w:color="EE4921"/>
            </w:tcBorders>
          </w:tcPr>
          <w:p>
            <w:pPr>
              <w:jc w:val="right"/>
              <w:ind w:right="9"/>
              <w:spacing w:after="0"/>
              <w:rPr>
                <w:sz w:val="20"/>
                <w:szCs w:val="20"/>
                <w:color w:val="auto"/>
              </w:rPr>
            </w:pPr>
            <w:r>
              <w:rPr>
                <w:rFonts w:ascii="Times New Roman" w:cs="Times New Roman" w:eastAsia="Times New Roman" w:hAnsi="Times New Roman"/>
                <w:sz w:val="14"/>
                <w:szCs w:val="14"/>
                <w:color w:val="535353"/>
              </w:rPr>
              <w:t>—</w:t>
            </w:r>
          </w:p>
        </w:tc>
        <w:tc>
          <w:tcPr>
            <w:tcW w:w="300" w:type="dxa"/>
            <w:vAlign w:val="bottom"/>
            <w:tcBorders>
              <w:bottom w:val="single" w:sz="8" w:color="EE4921"/>
            </w:tcBorders>
          </w:tcPr>
          <w:p>
            <w:pPr>
              <w:spacing w:after="0"/>
              <w:rPr>
                <w:sz w:val="15"/>
                <w:szCs w:val="15"/>
                <w:color w:val="auto"/>
              </w:rPr>
            </w:pPr>
          </w:p>
        </w:tc>
        <w:tc>
          <w:tcPr>
            <w:tcW w:w="84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13,416</w:t>
            </w:r>
          </w:p>
        </w:tc>
      </w:tr>
      <w:tr>
        <w:trPr>
          <w:trHeight w:val="181"/>
        </w:trPr>
        <w:tc>
          <w:tcPr>
            <w:tcW w:w="3420" w:type="dxa"/>
            <w:vAlign w:val="bottom"/>
            <w:tcBorders>
              <w:bottom w:val="single" w:sz="8" w:color="EE4921"/>
            </w:tcBorders>
          </w:tcPr>
          <w:p>
            <w:pPr>
              <w:ind w:left="200"/>
              <w:spacing w:after="0" w:line="181" w:lineRule="exact"/>
              <w:rPr>
                <w:sz w:val="20"/>
                <w:szCs w:val="20"/>
                <w:color w:val="auto"/>
              </w:rPr>
            </w:pPr>
            <w:r>
              <w:rPr>
                <w:rFonts w:ascii="Times New Roman" w:cs="Times New Roman" w:eastAsia="Times New Roman" w:hAnsi="Times New Roman"/>
                <w:sz w:val="14"/>
                <w:szCs w:val="14"/>
                <w:color w:val="auto"/>
              </w:rPr>
              <w:t>Changes in TRA related liability</w:t>
            </w:r>
            <w:r>
              <w:rPr>
                <w:rFonts w:ascii="Times New Roman" w:cs="Times New Roman" w:eastAsia="Times New Roman" w:hAnsi="Times New Roman"/>
                <w:sz w:val="18"/>
                <w:szCs w:val="18"/>
                <w:color w:val="auto"/>
                <w:vertAlign w:val="superscript"/>
              </w:rPr>
              <w:t>(3)</w:t>
            </w:r>
          </w:p>
        </w:tc>
        <w:tc>
          <w:tcPr>
            <w:tcW w:w="660" w:type="dxa"/>
            <w:vAlign w:val="bottom"/>
            <w:tcBorders>
              <w:bottom w:val="single" w:sz="8" w:color="EE4921"/>
            </w:tcBorders>
          </w:tcPr>
          <w:p>
            <w:pPr>
              <w:spacing w:after="0"/>
              <w:rPr>
                <w:sz w:val="15"/>
                <w:szCs w:val="15"/>
                <w:color w:val="auto"/>
              </w:rPr>
            </w:pPr>
          </w:p>
        </w:tc>
        <w:tc>
          <w:tcPr>
            <w:tcW w:w="88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(803)</w:t>
            </w:r>
          </w:p>
        </w:tc>
        <w:tc>
          <w:tcPr>
            <w:tcW w:w="300" w:type="dxa"/>
            <w:vAlign w:val="bottom"/>
            <w:tcBorders>
              <w:bottom w:val="single" w:sz="8" w:color="EE4921"/>
            </w:tcBorders>
          </w:tcPr>
          <w:p>
            <w:pPr>
              <w:spacing w:after="0"/>
              <w:rPr>
                <w:sz w:val="15"/>
                <w:szCs w:val="15"/>
                <w:color w:val="auto"/>
              </w:rPr>
            </w:pPr>
          </w:p>
        </w:tc>
        <w:tc>
          <w:tcPr>
            <w:tcW w:w="84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w:t>
            </w:r>
          </w:p>
        </w:tc>
      </w:tr>
      <w:tr>
        <w:trPr>
          <w:trHeight w:val="179"/>
        </w:trPr>
        <w:tc>
          <w:tcPr>
            <w:tcW w:w="3420" w:type="dxa"/>
            <w:vAlign w:val="bottom"/>
            <w:tcBorders>
              <w:bottom w:val="single" w:sz="8" w:color="EE4921"/>
            </w:tcBorders>
          </w:tcPr>
          <w:p>
            <w:pPr>
              <w:ind w:left="200"/>
              <w:spacing w:after="0"/>
              <w:rPr>
                <w:sz w:val="20"/>
                <w:szCs w:val="20"/>
                <w:color w:val="auto"/>
              </w:rPr>
            </w:pPr>
            <w:r>
              <w:rPr>
                <w:rFonts w:ascii="Times New Roman" w:cs="Times New Roman" w:eastAsia="Times New Roman" w:hAnsi="Times New Roman"/>
                <w:sz w:val="14"/>
                <w:szCs w:val="14"/>
                <w:color w:val="auto"/>
              </w:rPr>
              <w:t>Changes in Tax Indemnification Receivable</w:t>
            </w:r>
          </w:p>
        </w:tc>
        <w:tc>
          <w:tcPr>
            <w:tcW w:w="660" w:type="dxa"/>
            <w:vAlign w:val="bottom"/>
            <w:tcBorders>
              <w:bottom w:val="single" w:sz="8" w:color="EE4921"/>
            </w:tcBorders>
          </w:tcPr>
          <w:p>
            <w:pPr>
              <w:spacing w:after="0"/>
              <w:rPr>
                <w:sz w:val="15"/>
                <w:szCs w:val="15"/>
                <w:color w:val="auto"/>
              </w:rPr>
            </w:pPr>
          </w:p>
        </w:tc>
        <w:tc>
          <w:tcPr>
            <w:tcW w:w="880" w:type="dxa"/>
            <w:vAlign w:val="bottom"/>
            <w:tcBorders>
              <w:bottom w:val="single" w:sz="8" w:color="EE4921"/>
            </w:tcBorders>
          </w:tcPr>
          <w:p>
            <w:pPr>
              <w:jc w:val="right"/>
              <w:ind w:right="9"/>
              <w:spacing w:after="0"/>
              <w:rPr>
                <w:sz w:val="20"/>
                <w:szCs w:val="20"/>
                <w:color w:val="auto"/>
              </w:rPr>
            </w:pPr>
            <w:r>
              <w:rPr>
                <w:rFonts w:ascii="Times New Roman" w:cs="Times New Roman" w:eastAsia="Times New Roman" w:hAnsi="Times New Roman"/>
                <w:sz w:val="14"/>
                <w:szCs w:val="14"/>
                <w:color w:val="535353"/>
              </w:rPr>
              <w:t>17</w:t>
            </w:r>
          </w:p>
        </w:tc>
        <w:tc>
          <w:tcPr>
            <w:tcW w:w="300" w:type="dxa"/>
            <w:vAlign w:val="bottom"/>
            <w:tcBorders>
              <w:bottom w:val="single" w:sz="8" w:color="EE4921"/>
            </w:tcBorders>
          </w:tcPr>
          <w:p>
            <w:pPr>
              <w:spacing w:after="0"/>
              <w:rPr>
                <w:sz w:val="15"/>
                <w:szCs w:val="15"/>
                <w:color w:val="auto"/>
              </w:rPr>
            </w:pPr>
          </w:p>
        </w:tc>
        <w:tc>
          <w:tcPr>
            <w:tcW w:w="84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(21)</w:t>
            </w:r>
          </w:p>
        </w:tc>
      </w:tr>
      <w:tr>
        <w:trPr>
          <w:trHeight w:val="183"/>
        </w:trPr>
        <w:tc>
          <w:tcPr>
            <w:tcW w:w="3420" w:type="dxa"/>
            <w:vAlign w:val="bottom"/>
            <w:tcBorders>
              <w:bottom w:val="single" w:sz="8" w:color="EE4921"/>
            </w:tcBorders>
          </w:tcPr>
          <w:p>
            <w:pPr>
              <w:ind w:left="200"/>
              <w:spacing w:after="0" w:line="183" w:lineRule="exact"/>
              <w:rPr>
                <w:sz w:val="20"/>
                <w:szCs w:val="20"/>
                <w:color w:val="auto"/>
              </w:rPr>
            </w:pPr>
            <w:r>
              <w:rPr>
                <w:rFonts w:ascii="Times New Roman" w:cs="Times New Roman" w:eastAsia="Times New Roman" w:hAnsi="Times New Roman"/>
                <w:sz w:val="14"/>
                <w:szCs w:val="14"/>
                <w:color w:val="auto"/>
              </w:rPr>
              <w:t>Legal expenses</w:t>
            </w:r>
            <w:r>
              <w:rPr>
                <w:rFonts w:ascii="Times New Roman" w:cs="Times New Roman" w:eastAsia="Times New Roman" w:hAnsi="Times New Roman"/>
                <w:sz w:val="18"/>
                <w:szCs w:val="18"/>
                <w:color w:val="auto"/>
                <w:vertAlign w:val="superscript"/>
              </w:rPr>
              <w:t>(4)</w:t>
            </w:r>
          </w:p>
        </w:tc>
        <w:tc>
          <w:tcPr>
            <w:tcW w:w="660" w:type="dxa"/>
            <w:vAlign w:val="bottom"/>
            <w:tcBorders>
              <w:bottom w:val="single" w:sz="8" w:color="EE4921"/>
            </w:tcBorders>
          </w:tcPr>
          <w:p>
            <w:pPr>
              <w:spacing w:after="0"/>
              <w:rPr>
                <w:sz w:val="15"/>
                <w:szCs w:val="15"/>
                <w:color w:val="auto"/>
              </w:rPr>
            </w:pPr>
          </w:p>
        </w:tc>
        <w:tc>
          <w:tcPr>
            <w:tcW w:w="880" w:type="dxa"/>
            <w:vAlign w:val="bottom"/>
            <w:tcBorders>
              <w:bottom w:val="single" w:sz="8" w:color="EE4921"/>
            </w:tcBorders>
          </w:tcPr>
          <w:p>
            <w:pPr>
              <w:jc w:val="right"/>
              <w:ind w:right="9"/>
              <w:spacing w:after="0"/>
              <w:rPr>
                <w:sz w:val="20"/>
                <w:szCs w:val="20"/>
                <w:color w:val="auto"/>
              </w:rPr>
            </w:pPr>
            <w:r>
              <w:rPr>
                <w:rFonts w:ascii="Times New Roman" w:cs="Times New Roman" w:eastAsia="Times New Roman" w:hAnsi="Times New Roman"/>
                <w:sz w:val="14"/>
                <w:szCs w:val="14"/>
                <w:color w:val="535353"/>
              </w:rPr>
              <w:t>49</w:t>
            </w:r>
          </w:p>
        </w:tc>
        <w:tc>
          <w:tcPr>
            <w:tcW w:w="300" w:type="dxa"/>
            <w:vAlign w:val="bottom"/>
            <w:tcBorders>
              <w:bottom w:val="single" w:sz="8" w:color="EE4921"/>
            </w:tcBorders>
          </w:tcPr>
          <w:p>
            <w:pPr>
              <w:spacing w:after="0"/>
              <w:rPr>
                <w:sz w:val="15"/>
                <w:szCs w:val="15"/>
                <w:color w:val="auto"/>
              </w:rPr>
            </w:pPr>
          </w:p>
        </w:tc>
        <w:tc>
          <w:tcPr>
            <w:tcW w:w="840" w:type="dxa"/>
            <w:vAlign w:val="bottom"/>
            <w:tcBorders>
              <w:bottom w:val="single" w:sz="8" w:color="EE4921"/>
            </w:tcBorders>
          </w:tcPr>
          <w:p>
            <w:pPr>
              <w:jc w:val="right"/>
              <w:spacing w:after="0"/>
              <w:rPr>
                <w:sz w:val="20"/>
                <w:szCs w:val="20"/>
                <w:color w:val="auto"/>
              </w:rPr>
            </w:pPr>
            <w:r>
              <w:rPr>
                <w:rFonts w:ascii="Times New Roman" w:cs="Times New Roman" w:eastAsia="Times New Roman" w:hAnsi="Times New Roman"/>
                <w:sz w:val="14"/>
                <w:szCs w:val="14"/>
                <w:color w:val="535353"/>
              </w:rPr>
              <w:t>6,879</w:t>
            </w:r>
          </w:p>
        </w:tc>
      </w:tr>
      <w:tr>
        <w:trPr>
          <w:trHeight w:val="176"/>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535353"/>
              </w:rPr>
              <w:t>$</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535353"/>
              </w:rPr>
              <w:t>31,360</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53535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535353"/>
              </w:rPr>
              <w:t>29,376</w:t>
            </w:r>
          </w:p>
        </w:tc>
      </w:tr>
    </w:tbl>
    <w:p>
      <w:pPr>
        <w:spacing w:after="0" w:line="115" w:lineRule="exact"/>
        <w:rPr>
          <w:sz w:val="20"/>
          <w:szCs w:val="20"/>
          <w:color w:val="auto"/>
        </w:rPr>
      </w:pPr>
    </w:p>
    <w:p>
      <w:pPr>
        <w:ind w:left="840" w:right="300" w:hanging="278"/>
        <w:spacing w:after="0" w:line="251" w:lineRule="auto"/>
        <w:tabs>
          <w:tab w:leader="none" w:pos="833"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Transaction expenses for the three months ended March 31, 2026 consist of legal and other fees of $1.1 million and a loss on extinguishment of $0.2 million incurred by us in connection with the 2026 Credit Facilities.</w:t>
      </w:r>
    </w:p>
    <w:p>
      <w:pPr>
        <w:spacing w:after="0" w:line="77" w:lineRule="exact"/>
        <w:rPr>
          <w:rFonts w:ascii="Times New Roman" w:cs="Times New Roman" w:eastAsia="Times New Roman" w:hAnsi="Times New Roman"/>
          <w:sz w:val="13"/>
          <w:szCs w:val="13"/>
          <w:color w:val="auto"/>
        </w:rPr>
      </w:pPr>
    </w:p>
    <w:p>
      <w:pPr>
        <w:ind w:left="840" w:right="200" w:hanging="278"/>
        <w:spacing w:after="0" w:line="270" w:lineRule="auto"/>
        <w:tabs>
          <w:tab w:leader="none" w:pos="833"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Write-off of intangible assets for the three months ended March 31, 2025 consists of a charge related to the write-off of customer relationships and trademarks, trade names, and domain names intangible assets acquired as part of the acquisition of Customer Helper Team, LLC.</w:t>
      </w:r>
    </w:p>
    <w:p>
      <w:pPr>
        <w:spacing w:after="0" w:line="65" w:lineRule="exact"/>
        <w:rPr>
          <w:rFonts w:ascii="Times New Roman" w:cs="Times New Roman" w:eastAsia="Times New Roman" w:hAnsi="Times New Roman"/>
          <w:sz w:val="13"/>
          <w:szCs w:val="13"/>
          <w:color w:val="auto"/>
        </w:rPr>
      </w:pPr>
    </w:p>
    <w:p>
      <w:pPr>
        <w:ind w:left="840" w:hanging="278"/>
        <w:spacing w:after="0"/>
        <w:tabs>
          <w:tab w:leader="none" w:pos="8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TRA related liability consist of adjustments to the TRA liability to reflect probable future payments under the agreement.</w:t>
      </w:r>
    </w:p>
    <w:p>
      <w:pPr>
        <w:spacing w:after="0" w:line="98" w:lineRule="exact"/>
        <w:rPr>
          <w:rFonts w:ascii="Times New Roman" w:cs="Times New Roman" w:eastAsia="Times New Roman" w:hAnsi="Times New Roman"/>
          <w:sz w:val="13"/>
          <w:szCs w:val="13"/>
          <w:color w:val="auto"/>
        </w:rPr>
      </w:pPr>
    </w:p>
    <w:p>
      <w:pPr>
        <w:ind w:left="840" w:right="20" w:hanging="278"/>
        <w:spacing w:after="0" w:line="251" w:lineRule="auto"/>
        <w:tabs>
          <w:tab w:leader="none" w:pos="833"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Legal expenses for the three months ended March 31, 2026 were immaterial. Legal expenses for the three months ended March 31, 2025, consist of an increase of $5.0 million to the loss reserve established in connection with the FTC Matter and legal fees and costs incurred in connection with such matter.</w:t>
      </w:r>
    </w:p>
    <w:p>
      <w:pPr>
        <w:spacing w:after="0" w:line="200" w:lineRule="exact"/>
        <w:rPr>
          <w:sz w:val="20"/>
          <w:szCs w:val="20"/>
          <w:color w:val="auto"/>
        </w:rPr>
      </w:pPr>
    </w:p>
    <w:p>
      <w:pPr>
        <w:spacing w:after="0" w:line="335"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14"/>
          <w:szCs w:val="14"/>
          <w:color w:val="F36D4D"/>
        </w:rPr>
        <w:t>13</w:t>
      </w:r>
    </w:p>
    <w:sectPr>
      <w:pgSz w:w="11900" w:h="16838" w:orient="portrait"/>
      <w:cols w:equalWidth="0" w:num="1">
        <w:col w:w="11220"/>
      </w:cols>
      <w:pgMar w:left="320" w:top="100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1"/>
      <w:numFmt w:val="bullet"/>
      <w:start w:val="1"/>
    </w:lvl>
  </w:abstractNum>
  <w:abstractNum w:abstractNumId="9">
    <w:nsid w:val="1190CDE7"/>
    <w:multiLevelType w:val="hybridMultilevel"/>
    <w:lvl w:ilvl="0">
      <w:lvlJc w:val="left"/>
      <w:lvlText w:val="2"/>
      <w:numFmt w:val="bullet"/>
      <w:start w:val="1"/>
    </w:lvl>
  </w:abstractNum>
  <w:abstractNum w:abstractNumId="10">
    <w:nsid w:val="66EF438D"/>
    <w:multiLevelType w:val="hybridMultilevel"/>
    <w:lvl w:ilvl="0">
      <w:lvlJc w:val="left"/>
      <w:lvlText w:val="1"/>
      <w:numFmt w:val="bullet"/>
      <w:start w:val="1"/>
    </w:lvl>
  </w:abstractNum>
  <w:abstractNum w:abstractNumId="11">
    <w:nsid w:val="140E0F76"/>
    <w:multiLevelType w:val="hybridMultilevel"/>
    <w:lvl w:ilvl="0">
      <w:lvlJc w:val="left"/>
      <w:lvlText w:val="2"/>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2026-04-29T15:40:31Z</dcterms:created>
  <dcterms:modified xsi:type="dcterms:W3CDTF">2026-04-29T15:40:31Z</dcterms:modified>
</cp:coreProperties>
</file>