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335497.xml.htm"/>
      <w:bookmarkStart w:id="1" w:name="kswkform4_178433549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Yi Steven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MEDIAALPHA,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SOUTH FLOWER STREET, SUITE 640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MediaAlpha,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0"/>
        <w:gridCol w:w="913"/>
        <w:gridCol w:w="783"/>
        <w:gridCol w:w="606"/>
        <w:gridCol w:w="342"/>
        <w:gridCol w:w="913"/>
        <w:gridCol w:w="429"/>
        <w:gridCol w:w="984"/>
        <w:gridCol w:w="1255"/>
        <w:gridCol w:w="972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82,457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14.3901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2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2,472,023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12,333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14.1973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2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2,459,690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effected pursuant to a Rule 10b5-1 trading plan previously adopted by the Reporting Person primarily to cover taxes resulting from the vesting of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weighted-average sale price for shares sold in multiple transactions at prices ranging from $14.03 to $14.68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the weighted-average sale price for shares sold in multiple transactions at prices ranging from $14.00 to $14.24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EXECUTIVE OFFICER, PRESIDENT, AND CO-FOUNDER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B. Coyne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29946" TargetMode="External"/><Relationship Id="rId5" Type="http://schemas.openxmlformats.org/officeDocument/2006/relationships/hyperlink" Target="http://www.sec.gov/cgi-bin/browse-edgar?action=getcompany&amp;CIK=00018183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730</Words>
  <Characters>3954</Characters>
  <CharactersWithSpaces>4614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