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770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7088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41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Cramer Keith</w:t>
              </w:r>
            </w:hyperlink>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MediaAlpha,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4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980" w:type="dxa"/>
            <w:vAlign w:val="bottom"/>
          </w:tcPr>
          <w:p>
            <w:pPr>
              <w:ind w:left="40"/>
              <w:spacing w:after="0"/>
              <w:rPr>
                <w:sz w:val="20"/>
                <w:szCs w:val="20"/>
                <w:color w:val="auto"/>
              </w:rPr>
            </w:pPr>
            <w:r>
              <w:rPr>
                <w:rFonts w:ascii="Arial" w:cs="Arial" w:eastAsia="Arial" w:hAnsi="Arial"/>
                <w:sz w:val="13"/>
                <w:szCs w:val="13"/>
                <w:color w:val="auto"/>
              </w:rPr>
              <w:t>(First)</w:t>
            </w:r>
          </w:p>
        </w:tc>
        <w:tc>
          <w:tcPr>
            <w:tcW w:w="1460" w:type="dxa"/>
            <w:vAlign w:val="bottom"/>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MEDIAALPHA, INC.</w:t>
            </w:r>
          </w:p>
        </w:tc>
        <w:tc>
          <w:tcPr>
            <w:tcW w:w="1460" w:type="dxa"/>
            <w:vAlign w:val="bottom"/>
          </w:tcPr>
          <w:p>
            <w:pPr>
              <w:spacing w:after="0"/>
              <w:rPr>
                <w:sz w:val="19"/>
                <w:szCs w:val="19"/>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 SOUTH FLOWER STREET, SUITE 640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814"/>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41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9"/>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LOS ANGELES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90017</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9"/>
              </w:rPr>
              <w:t>5,303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75"/>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302,057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9"/>
              </w:rPr>
              <w:t>4,471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75"/>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306,528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rPr>
              <w:t>13,000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8.0528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293,528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5,303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5,303</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15,910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4,471</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4,471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31,304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share of Class A Common Stock was issued upon the vesting of each Restricted Stock Unit ("RSU").</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previously adopted by the Reporting Person primarily to cover taxes resulting from the vesting of RSUs.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weighted-average sale price for shares sold in multiple transactions at prices ranging from $7.95 to $8.195 per share. The Reporting Person undertakes to provide upon request by the Securities and Exchange Commission staff, the issuer, or a security holder of the issuer, full information regarding the number of shares sold at each separate price.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under the Issuer's Omnibus Equity Incentive Plan on March 15, 2023.</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sixteenth of the RSUs vested on May 15, 2023 and the remainder will vest quarterly over the following four years, in each case subject to continued employment with the Issuer through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under the Issuer's Omnibus Equity Incentive Plan on March 15, 2024.</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sixteenth of the RSUs vested on May 15, 2024 and the remainder will vest quarterly over the following four years, in each case subject to continued employment with the Issuer through each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Jeffrey B. Coyne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05/19/2026</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989" TargetMode="External"/><Relationship Id="rId14" Type="http://schemas.openxmlformats.org/officeDocument/2006/relationships/hyperlink" Target="http://www.sec.gov/cgi-bin/browse-edgar?action=getcompany&amp;CIK=00018183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2026-05-19T16:01:37Z</dcterms:created>
  <dcterms:modified xsi:type="dcterms:W3CDTF">2026-05-19T16:01:37Z</dcterms:modified>
</cp:coreProperties>
</file>