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CONFIDENTIAL TREATMENT REQUESTED</w:t>
      </w:r>
    </w:p>
    <w:p>
      <w:pPr>
        <w:spacing w:after="0" w:line="15" w:lineRule="exact"/>
        <w:rPr>
          <w:sz w:val="24"/>
          <w:szCs w:val="24"/>
          <w:color w:val="auto"/>
        </w:rPr>
      </w:pPr>
    </w:p>
    <w:p>
      <w:pPr>
        <w:ind w:left="4300"/>
        <w:spacing w:after="0"/>
        <w:rPr>
          <w:sz w:val="20"/>
          <w:szCs w:val="20"/>
          <w:color w:val="auto"/>
        </w:rPr>
      </w:pPr>
      <w:r>
        <w:rPr>
          <w:rFonts w:ascii="Arial" w:cs="Arial" w:eastAsia="Arial" w:hAnsi="Arial"/>
          <w:sz w:val="13"/>
          <w:szCs w:val="13"/>
          <w:b w:val="1"/>
          <w:bCs w:val="1"/>
          <w:color w:val="auto"/>
        </w:rPr>
        <w:t>PURSUANT TO 17 C.F.R. SECTION 200.83</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As confidentially submitted to the Securities and Exchange Commission on March 5, 2021.</w:t>
      </w:r>
    </w:p>
    <w:p>
      <w:pPr>
        <w:spacing w:after="0" w:line="12" w:lineRule="exact"/>
        <w:rPr>
          <w:sz w:val="24"/>
          <w:szCs w:val="24"/>
          <w:color w:val="auto"/>
        </w:rPr>
      </w:pPr>
    </w:p>
    <w:p>
      <w:pPr>
        <w:ind w:left="9340" w:right="320" w:hanging="8901"/>
        <w:spacing w:after="0" w:line="302" w:lineRule="auto"/>
        <w:rPr>
          <w:sz w:val="20"/>
          <w:szCs w:val="20"/>
          <w:color w:val="auto"/>
        </w:rPr>
      </w:pPr>
      <w:r>
        <w:rPr>
          <w:rFonts w:ascii="Arial" w:cs="Arial" w:eastAsia="Arial" w:hAnsi="Arial"/>
          <w:sz w:val="13"/>
          <w:szCs w:val="13"/>
          <w:b w:val="1"/>
          <w:bCs w:val="1"/>
          <w:color w:val="auto"/>
        </w:rPr>
        <w:t>This draft registration statement has not been filed publicly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44450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UNITED STATES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9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S-1</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REGISTRATION STATEMENT</w:t>
      </w:r>
    </w:p>
    <w:p>
      <w:pPr>
        <w:jc w:val="center"/>
        <w:ind w:right="-99"/>
        <w:spacing w:after="0"/>
        <w:rPr>
          <w:sz w:val="20"/>
          <w:szCs w:val="20"/>
          <w:color w:val="auto"/>
        </w:rPr>
      </w:pPr>
      <w:r>
        <w:rPr>
          <w:rFonts w:ascii="Arial" w:cs="Arial" w:eastAsia="Arial" w:hAnsi="Arial"/>
          <w:sz w:val="13"/>
          <w:szCs w:val="13"/>
          <w:b w:val="1"/>
          <w:bCs w:val="1"/>
          <w:color w:val="auto"/>
        </w:rPr>
        <w:t>UNDER</w:t>
      </w:r>
    </w:p>
    <w:p>
      <w:pPr>
        <w:jc w:val="center"/>
        <w:ind w:right="-9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68580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9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MediaAlpha, Inc.</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4" w:lineRule="exact"/>
        <w:rPr>
          <w:sz w:val="24"/>
          <w:szCs w:val="24"/>
          <w:color w:val="auto"/>
        </w:rPr>
      </w:pPr>
    </w:p>
    <w:tbl>
      <w:tblPr>
        <w:tblLayout w:type="fixed"/>
        <w:tblInd w:w="1100" w:type="dxa"/>
        <w:tblCellMar>
          <w:top w:w="0" w:type="dxa"/>
          <w:left w:w="0" w:type="dxa"/>
          <w:bottom w:w="0" w:type="dxa"/>
          <w:right w:w="0" w:type="dxa"/>
        </w:tblCellMar>
      </w:tblPr>
      <w:tr>
        <w:trPr>
          <w:trHeight w:val="164"/>
        </w:trPr>
        <w:tc>
          <w:tcPr>
            <w:tcW w:w="2640" w:type="dxa"/>
            <w:vAlign w:val="bottom"/>
          </w:tcPr>
          <w:p>
            <w:pPr>
              <w:jc w:val="center"/>
              <w:ind w:right="813"/>
              <w:spacing w:after="0"/>
              <w:rPr>
                <w:sz w:val="20"/>
                <w:szCs w:val="20"/>
                <w:color w:val="auto"/>
              </w:rPr>
            </w:pPr>
            <w:r>
              <w:rPr>
                <w:rFonts w:ascii="Arial" w:cs="Arial" w:eastAsia="Arial" w:hAnsi="Arial"/>
                <w:sz w:val="13"/>
                <w:szCs w:val="13"/>
                <w:b w:val="1"/>
                <w:bCs w:val="1"/>
                <w:color w:val="auto"/>
              </w:rPr>
              <w:t>Delaware</w:t>
            </w:r>
          </w:p>
        </w:tc>
        <w:tc>
          <w:tcPr>
            <w:tcW w:w="4100" w:type="dxa"/>
            <w:vAlign w:val="bottom"/>
          </w:tcPr>
          <w:p>
            <w:pPr>
              <w:jc w:val="right"/>
              <w:ind w:right="1893"/>
              <w:spacing w:after="0"/>
              <w:rPr>
                <w:sz w:val="20"/>
                <w:szCs w:val="20"/>
                <w:color w:val="auto"/>
              </w:rPr>
            </w:pPr>
            <w:r>
              <w:rPr>
                <w:rFonts w:ascii="Arial" w:cs="Arial" w:eastAsia="Arial" w:hAnsi="Arial"/>
                <w:sz w:val="13"/>
                <w:szCs w:val="13"/>
                <w:b w:val="1"/>
                <w:bCs w:val="1"/>
                <w:color w:val="auto"/>
              </w:rPr>
              <w:t>7370</w:t>
            </w:r>
          </w:p>
        </w:tc>
        <w:tc>
          <w:tcPr>
            <w:tcW w:w="2060" w:type="dxa"/>
            <w:vAlign w:val="bottom"/>
          </w:tcPr>
          <w:p>
            <w:pPr>
              <w:jc w:val="center"/>
              <w:ind w:left="953"/>
              <w:spacing w:after="0"/>
              <w:rPr>
                <w:sz w:val="20"/>
                <w:szCs w:val="20"/>
                <w:color w:val="auto"/>
              </w:rPr>
            </w:pPr>
            <w:r>
              <w:rPr>
                <w:rFonts w:ascii="Arial" w:cs="Arial" w:eastAsia="Arial" w:hAnsi="Arial"/>
                <w:sz w:val="13"/>
                <w:szCs w:val="13"/>
                <w:b w:val="1"/>
                <w:bCs w:val="1"/>
                <w:color w:val="auto"/>
              </w:rPr>
              <w:t>85-1854133</w:t>
            </w:r>
          </w:p>
        </w:tc>
      </w:tr>
      <w:tr>
        <w:trPr>
          <w:trHeight w:val="148"/>
        </w:trPr>
        <w:tc>
          <w:tcPr>
            <w:tcW w:w="2640" w:type="dxa"/>
            <w:vAlign w:val="bottom"/>
          </w:tcPr>
          <w:p>
            <w:pPr>
              <w:jc w:val="center"/>
              <w:ind w:right="813"/>
              <w:spacing w:after="0"/>
              <w:rPr>
                <w:sz w:val="20"/>
                <w:szCs w:val="20"/>
                <w:color w:val="auto"/>
              </w:rPr>
            </w:pPr>
            <w:r>
              <w:rPr>
                <w:rFonts w:ascii="Arial" w:cs="Arial" w:eastAsia="Arial" w:hAnsi="Arial"/>
                <w:sz w:val="13"/>
                <w:szCs w:val="13"/>
                <w:color w:val="auto"/>
              </w:rPr>
              <w:t>(State or other jurisdiction of</w:t>
            </w:r>
          </w:p>
        </w:tc>
        <w:tc>
          <w:tcPr>
            <w:tcW w:w="4100" w:type="dxa"/>
            <w:vAlign w:val="bottom"/>
          </w:tcPr>
          <w:p>
            <w:pPr>
              <w:jc w:val="center"/>
              <w:ind w:right="33"/>
              <w:spacing w:after="0"/>
              <w:rPr>
                <w:sz w:val="20"/>
                <w:szCs w:val="20"/>
                <w:color w:val="auto"/>
              </w:rPr>
            </w:pPr>
            <w:r>
              <w:rPr>
                <w:rFonts w:ascii="Arial" w:cs="Arial" w:eastAsia="Arial" w:hAnsi="Arial"/>
                <w:sz w:val="13"/>
                <w:szCs w:val="13"/>
                <w:color w:val="auto"/>
              </w:rPr>
              <w:t>(Primary Standard Industrial</w:t>
            </w:r>
          </w:p>
        </w:tc>
        <w:tc>
          <w:tcPr>
            <w:tcW w:w="2060" w:type="dxa"/>
            <w:vAlign w:val="bottom"/>
          </w:tcPr>
          <w:p>
            <w:pPr>
              <w:jc w:val="center"/>
              <w:ind w:left="933"/>
              <w:spacing w:after="0"/>
              <w:rPr>
                <w:sz w:val="20"/>
                <w:szCs w:val="20"/>
                <w:color w:val="auto"/>
              </w:rPr>
            </w:pPr>
            <w:r>
              <w:rPr>
                <w:rFonts w:ascii="Arial" w:cs="Arial" w:eastAsia="Arial" w:hAnsi="Arial"/>
                <w:sz w:val="13"/>
                <w:szCs w:val="13"/>
                <w:color w:val="auto"/>
              </w:rPr>
              <w:t>(I.R.S. Employer</w:t>
            </w:r>
          </w:p>
        </w:tc>
      </w:tr>
      <w:tr>
        <w:trPr>
          <w:trHeight w:val="146"/>
        </w:trPr>
        <w:tc>
          <w:tcPr>
            <w:tcW w:w="2640" w:type="dxa"/>
            <w:vAlign w:val="bottom"/>
          </w:tcPr>
          <w:p>
            <w:pPr>
              <w:jc w:val="center"/>
              <w:ind w:right="813"/>
              <w:spacing w:after="0" w:line="146" w:lineRule="exact"/>
              <w:rPr>
                <w:sz w:val="20"/>
                <w:szCs w:val="20"/>
                <w:color w:val="auto"/>
              </w:rPr>
            </w:pPr>
            <w:r>
              <w:rPr>
                <w:rFonts w:ascii="Arial" w:cs="Arial" w:eastAsia="Arial" w:hAnsi="Arial"/>
                <w:sz w:val="13"/>
                <w:szCs w:val="13"/>
                <w:color w:val="auto"/>
              </w:rPr>
              <w:t>incorporation or organization)</w:t>
            </w:r>
          </w:p>
        </w:tc>
        <w:tc>
          <w:tcPr>
            <w:tcW w:w="4100" w:type="dxa"/>
            <w:vAlign w:val="bottom"/>
          </w:tcPr>
          <w:p>
            <w:pPr>
              <w:jc w:val="center"/>
              <w:ind w:right="33"/>
              <w:spacing w:after="0" w:line="146" w:lineRule="exact"/>
              <w:rPr>
                <w:sz w:val="20"/>
                <w:szCs w:val="20"/>
                <w:color w:val="auto"/>
              </w:rPr>
            </w:pPr>
            <w:r>
              <w:rPr>
                <w:rFonts w:ascii="Arial" w:cs="Arial" w:eastAsia="Arial" w:hAnsi="Arial"/>
                <w:sz w:val="13"/>
                <w:szCs w:val="13"/>
                <w:color w:val="auto"/>
              </w:rPr>
              <w:t>Classification Code Number)</w:t>
            </w:r>
          </w:p>
        </w:tc>
        <w:tc>
          <w:tcPr>
            <w:tcW w:w="2060" w:type="dxa"/>
            <w:vAlign w:val="bottom"/>
          </w:tcPr>
          <w:p>
            <w:pPr>
              <w:jc w:val="center"/>
              <w:ind w:left="933"/>
              <w:spacing w:after="0" w:line="146" w:lineRule="exact"/>
              <w:rPr>
                <w:sz w:val="20"/>
                <w:szCs w:val="20"/>
                <w:color w:val="auto"/>
              </w:rPr>
            </w:pPr>
            <w:r>
              <w:rPr>
                <w:rFonts w:ascii="Arial" w:cs="Arial" w:eastAsia="Arial" w:hAnsi="Arial"/>
                <w:sz w:val="13"/>
                <w:szCs w:val="13"/>
                <w:color w:val="auto"/>
              </w:rPr>
              <w:t>Identification No.)</w:t>
            </w:r>
          </w:p>
        </w:tc>
      </w:tr>
      <w:tr>
        <w:trPr>
          <w:trHeight w:val="148"/>
        </w:trPr>
        <w:tc>
          <w:tcPr>
            <w:tcW w:w="2640" w:type="dxa"/>
            <w:vAlign w:val="bottom"/>
          </w:tcPr>
          <w:p>
            <w:pPr>
              <w:spacing w:after="0"/>
              <w:rPr>
                <w:sz w:val="12"/>
                <w:szCs w:val="12"/>
                <w:color w:val="auto"/>
              </w:rPr>
            </w:pPr>
          </w:p>
        </w:tc>
        <w:tc>
          <w:tcPr>
            <w:tcW w:w="4100" w:type="dxa"/>
            <w:vAlign w:val="bottom"/>
          </w:tcPr>
          <w:p>
            <w:pPr>
              <w:jc w:val="center"/>
              <w:ind w:right="33"/>
              <w:spacing w:after="0"/>
              <w:rPr>
                <w:sz w:val="20"/>
                <w:szCs w:val="20"/>
                <w:color w:val="auto"/>
              </w:rPr>
            </w:pPr>
            <w:r>
              <w:rPr>
                <w:rFonts w:ascii="Arial" w:cs="Arial" w:eastAsia="Arial" w:hAnsi="Arial"/>
                <w:sz w:val="13"/>
                <w:szCs w:val="13"/>
                <w:b w:val="1"/>
                <w:bCs w:val="1"/>
                <w:color w:val="auto"/>
              </w:rPr>
              <w:t>700 South Flower Street, Suite 640</w:t>
            </w:r>
          </w:p>
        </w:tc>
        <w:tc>
          <w:tcPr>
            <w:tcW w:w="2060" w:type="dxa"/>
            <w:vAlign w:val="bottom"/>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4100" w:type="dxa"/>
            <w:vAlign w:val="bottom"/>
          </w:tcPr>
          <w:p>
            <w:pPr>
              <w:jc w:val="center"/>
              <w:ind w:right="33"/>
              <w:spacing w:after="0"/>
              <w:rPr>
                <w:sz w:val="20"/>
                <w:szCs w:val="20"/>
                <w:color w:val="auto"/>
              </w:rPr>
            </w:pPr>
            <w:r>
              <w:rPr>
                <w:rFonts w:ascii="Arial" w:cs="Arial" w:eastAsia="Arial" w:hAnsi="Arial"/>
                <w:sz w:val="13"/>
                <w:szCs w:val="13"/>
                <w:b w:val="1"/>
                <w:bCs w:val="1"/>
                <w:color w:val="auto"/>
              </w:rPr>
              <w:t>Los Angeles, California 90017</w:t>
            </w:r>
          </w:p>
        </w:tc>
        <w:tc>
          <w:tcPr>
            <w:tcW w:w="2060" w:type="dxa"/>
            <w:vAlign w:val="bottom"/>
          </w:tcPr>
          <w:p>
            <w:pPr>
              <w:spacing w:after="0"/>
              <w:rPr>
                <w:sz w:val="12"/>
                <w:szCs w:val="12"/>
                <w:color w:val="auto"/>
              </w:rPr>
            </w:pPr>
          </w:p>
        </w:tc>
      </w:tr>
      <w:tr>
        <w:trPr>
          <w:trHeight w:val="178"/>
        </w:trPr>
        <w:tc>
          <w:tcPr>
            <w:tcW w:w="2640" w:type="dxa"/>
            <w:vAlign w:val="bottom"/>
          </w:tcPr>
          <w:p>
            <w:pPr>
              <w:spacing w:after="0"/>
              <w:rPr>
                <w:sz w:val="15"/>
                <w:szCs w:val="15"/>
                <w:color w:val="auto"/>
              </w:rPr>
            </w:pPr>
          </w:p>
        </w:tc>
        <w:tc>
          <w:tcPr>
            <w:tcW w:w="4100" w:type="dxa"/>
            <w:vAlign w:val="bottom"/>
          </w:tcPr>
          <w:p>
            <w:pPr>
              <w:jc w:val="right"/>
              <w:ind w:right="1573"/>
              <w:spacing w:after="0"/>
              <w:rPr>
                <w:sz w:val="20"/>
                <w:szCs w:val="20"/>
                <w:color w:val="auto"/>
              </w:rPr>
            </w:pPr>
            <w:r>
              <w:rPr>
                <w:rFonts w:ascii="Arial" w:cs="Arial" w:eastAsia="Arial" w:hAnsi="Arial"/>
                <w:sz w:val="13"/>
                <w:szCs w:val="13"/>
                <w:b w:val="1"/>
                <w:bCs w:val="1"/>
                <w:color w:val="auto"/>
              </w:rPr>
              <w:t>(213) 316-6256</w:t>
            </w:r>
          </w:p>
        </w:tc>
        <w:tc>
          <w:tcPr>
            <w:tcW w:w="2060" w:type="dxa"/>
            <w:vAlign w:val="bottom"/>
          </w:tcPr>
          <w:p>
            <w:pPr>
              <w:spacing w:after="0"/>
              <w:rPr>
                <w:sz w:val="15"/>
                <w:szCs w:val="15"/>
                <w:color w:val="auto"/>
              </w:rPr>
            </w:pPr>
          </w:p>
        </w:tc>
      </w:tr>
    </w:tbl>
    <w:p>
      <w:pPr>
        <w:jc w:val="center"/>
        <w:ind w:right="-9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Tigran Sinanyan</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Chief Financial Officer and Treasurer</w:t>
      </w:r>
    </w:p>
    <w:p>
      <w:pPr>
        <w:jc w:val="center"/>
        <w:ind w:right="-99"/>
        <w:spacing w:after="0"/>
        <w:rPr>
          <w:sz w:val="20"/>
          <w:szCs w:val="20"/>
          <w:color w:val="auto"/>
        </w:rPr>
      </w:pPr>
      <w:r>
        <w:rPr>
          <w:rFonts w:ascii="Arial" w:cs="Arial" w:eastAsia="Arial" w:hAnsi="Arial"/>
          <w:sz w:val="13"/>
          <w:szCs w:val="13"/>
          <w:b w:val="1"/>
          <w:bCs w:val="1"/>
          <w:color w:val="auto"/>
        </w:rPr>
        <w:t>MediaAlpha, Inc.</w:t>
      </w:r>
    </w:p>
    <w:p>
      <w:pPr>
        <w:jc w:val="center"/>
        <w:ind w:right="-99"/>
        <w:spacing w:after="0"/>
        <w:rPr>
          <w:sz w:val="20"/>
          <w:szCs w:val="20"/>
          <w:color w:val="auto"/>
        </w:rPr>
      </w:pPr>
      <w:r>
        <w:rPr>
          <w:rFonts w:ascii="Arial" w:cs="Arial" w:eastAsia="Arial" w:hAnsi="Arial"/>
          <w:sz w:val="13"/>
          <w:szCs w:val="13"/>
          <w:b w:val="1"/>
          <w:bCs w:val="1"/>
          <w:color w:val="auto"/>
        </w:rPr>
        <w:t>700 South Flower Street, Suite 640</w:t>
      </w:r>
    </w:p>
    <w:p>
      <w:pPr>
        <w:jc w:val="center"/>
        <w:ind w:right="-99"/>
        <w:spacing w:after="0"/>
        <w:rPr>
          <w:sz w:val="20"/>
          <w:szCs w:val="20"/>
          <w:color w:val="auto"/>
        </w:rPr>
      </w:pPr>
      <w:r>
        <w:rPr>
          <w:rFonts w:ascii="Arial" w:cs="Arial" w:eastAsia="Arial" w:hAnsi="Arial"/>
          <w:sz w:val="13"/>
          <w:szCs w:val="13"/>
          <w:b w:val="1"/>
          <w:bCs w:val="1"/>
          <w:color w:val="auto"/>
        </w:rPr>
        <w:t>Los Angeles, California 90017</w:t>
      </w:r>
    </w:p>
    <w:p>
      <w:pPr>
        <w:jc w:val="center"/>
        <w:ind w:right="-99"/>
        <w:spacing w:after="0"/>
        <w:rPr>
          <w:sz w:val="20"/>
          <w:szCs w:val="20"/>
          <w:color w:val="auto"/>
        </w:rPr>
      </w:pPr>
      <w:r>
        <w:rPr>
          <w:rFonts w:ascii="Arial" w:cs="Arial" w:eastAsia="Arial" w:hAnsi="Arial"/>
          <w:sz w:val="13"/>
          <w:szCs w:val="13"/>
          <w:b w:val="1"/>
          <w:bCs w:val="1"/>
          <w:color w:val="auto"/>
        </w:rPr>
        <w:t>(213) 316-6256</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4"/>
          <w:szCs w:val="24"/>
          <w:color w:val="auto"/>
        </w:rPr>
      </w:pPr>
    </w:p>
    <w:tbl>
      <w:tblPr>
        <w:tblLayout w:type="fixed"/>
        <w:tblInd w:w="102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3860" w:type="dxa"/>
            <w:vAlign w:val="bottom"/>
          </w:tcPr>
          <w:p>
            <w:pPr>
              <w:ind w:left="1520"/>
              <w:spacing w:after="0"/>
              <w:rPr>
                <w:sz w:val="20"/>
                <w:szCs w:val="20"/>
                <w:color w:val="auto"/>
              </w:rPr>
            </w:pPr>
            <w:r>
              <w:rPr>
                <w:rFonts w:ascii="Arial" w:cs="Arial" w:eastAsia="Arial" w:hAnsi="Arial"/>
                <w:sz w:val="13"/>
                <w:szCs w:val="13"/>
                <w:b w:val="1"/>
                <w:bCs w:val="1"/>
                <w:i w:val="1"/>
                <w:iCs w:val="1"/>
                <w:color w:val="auto"/>
              </w:rPr>
              <w:t>Copies to:</w:t>
            </w:r>
          </w:p>
        </w:tc>
        <w:tc>
          <w:tcPr>
            <w:tcW w:w="2660" w:type="dxa"/>
            <w:vAlign w:val="bottom"/>
          </w:tcPr>
          <w:p>
            <w:pPr>
              <w:spacing w:after="0"/>
              <w:rPr>
                <w:sz w:val="13"/>
                <w:szCs w:val="13"/>
                <w:color w:val="auto"/>
              </w:rPr>
            </w:pPr>
          </w:p>
        </w:tc>
      </w:tr>
      <w:tr>
        <w:trPr>
          <w:trHeight w:val="149"/>
        </w:trPr>
        <w:tc>
          <w:tcPr>
            <w:tcW w:w="2760" w:type="dxa"/>
            <w:vAlign w:val="bottom"/>
          </w:tcPr>
          <w:p>
            <w:pPr>
              <w:jc w:val="center"/>
              <w:ind w:right="753"/>
              <w:spacing w:after="0"/>
              <w:rPr>
                <w:sz w:val="20"/>
                <w:szCs w:val="20"/>
                <w:color w:val="auto"/>
              </w:rPr>
            </w:pPr>
            <w:r>
              <w:rPr>
                <w:rFonts w:ascii="Arial" w:cs="Arial" w:eastAsia="Arial" w:hAnsi="Arial"/>
                <w:sz w:val="13"/>
                <w:szCs w:val="13"/>
                <w:b w:val="1"/>
                <w:bCs w:val="1"/>
                <w:color w:val="auto"/>
              </w:rPr>
              <w:t>Andrew J. Pitts, Esq.</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Lance Martinez, Esq.</w:t>
            </w:r>
          </w:p>
        </w:tc>
        <w:tc>
          <w:tcPr>
            <w:tcW w:w="2660" w:type="dxa"/>
            <w:vAlign w:val="bottom"/>
          </w:tcPr>
          <w:p>
            <w:pPr>
              <w:jc w:val="center"/>
              <w:ind w:left="733"/>
              <w:spacing w:after="0"/>
              <w:rPr>
                <w:sz w:val="20"/>
                <w:szCs w:val="20"/>
                <w:color w:val="auto"/>
              </w:rPr>
            </w:pPr>
            <w:r>
              <w:rPr>
                <w:rFonts w:ascii="Arial" w:cs="Arial" w:eastAsia="Arial" w:hAnsi="Arial"/>
                <w:sz w:val="13"/>
                <w:szCs w:val="13"/>
                <w:b w:val="1"/>
                <w:bCs w:val="1"/>
                <w:color w:val="auto"/>
              </w:rPr>
              <w:t>Byron B. Rooney, Esq.</w:t>
            </w:r>
          </w:p>
        </w:tc>
      </w:tr>
      <w:tr>
        <w:trPr>
          <w:trHeight w:val="148"/>
        </w:trPr>
        <w:tc>
          <w:tcPr>
            <w:tcW w:w="2760" w:type="dxa"/>
            <w:vAlign w:val="bottom"/>
          </w:tcPr>
          <w:p>
            <w:pPr>
              <w:jc w:val="center"/>
              <w:ind w:right="773"/>
              <w:spacing w:after="0"/>
              <w:rPr>
                <w:sz w:val="20"/>
                <w:szCs w:val="20"/>
                <w:color w:val="auto"/>
              </w:rPr>
            </w:pPr>
            <w:r>
              <w:rPr>
                <w:rFonts w:ascii="Arial" w:cs="Arial" w:eastAsia="Arial" w:hAnsi="Arial"/>
                <w:sz w:val="13"/>
                <w:szCs w:val="13"/>
                <w:b w:val="1"/>
                <w:bCs w:val="1"/>
                <w:color w:val="auto"/>
              </w:rPr>
              <w:t>C. Daniel Haaren, Esq.</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MediaAlpha, Inc.</w:t>
            </w:r>
          </w:p>
        </w:tc>
        <w:tc>
          <w:tcPr>
            <w:tcW w:w="2660" w:type="dxa"/>
            <w:vAlign w:val="bottom"/>
          </w:tcPr>
          <w:p>
            <w:pPr>
              <w:jc w:val="center"/>
              <w:ind w:left="733"/>
              <w:spacing w:after="0"/>
              <w:rPr>
                <w:sz w:val="20"/>
                <w:szCs w:val="20"/>
                <w:color w:val="auto"/>
              </w:rPr>
            </w:pPr>
            <w:r>
              <w:rPr>
                <w:rFonts w:ascii="Arial" w:cs="Arial" w:eastAsia="Arial" w:hAnsi="Arial"/>
                <w:sz w:val="13"/>
                <w:szCs w:val="13"/>
                <w:b w:val="1"/>
                <w:bCs w:val="1"/>
                <w:color w:val="auto"/>
              </w:rPr>
              <w:t>Roshni Banker Cariello, Esq.</w:t>
            </w:r>
          </w:p>
        </w:tc>
      </w:tr>
      <w:tr>
        <w:trPr>
          <w:trHeight w:val="148"/>
        </w:trPr>
        <w:tc>
          <w:tcPr>
            <w:tcW w:w="2760" w:type="dxa"/>
            <w:vAlign w:val="bottom"/>
          </w:tcPr>
          <w:p>
            <w:pPr>
              <w:jc w:val="center"/>
              <w:ind w:right="773"/>
              <w:spacing w:after="0"/>
              <w:rPr>
                <w:sz w:val="20"/>
                <w:szCs w:val="20"/>
                <w:color w:val="auto"/>
              </w:rPr>
            </w:pPr>
            <w:r>
              <w:rPr>
                <w:rFonts w:ascii="Arial" w:cs="Arial" w:eastAsia="Arial" w:hAnsi="Arial"/>
                <w:sz w:val="13"/>
                <w:szCs w:val="13"/>
                <w:b w:val="1"/>
                <w:bCs w:val="1"/>
                <w:color w:val="auto"/>
              </w:rPr>
              <w:t>Cravath, Swaine &amp; Moore LLP</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700 South Flower Street, Suite 640</w:t>
            </w:r>
          </w:p>
        </w:tc>
        <w:tc>
          <w:tcPr>
            <w:tcW w:w="2660" w:type="dxa"/>
            <w:vAlign w:val="bottom"/>
          </w:tcPr>
          <w:p>
            <w:pPr>
              <w:jc w:val="center"/>
              <w:ind w:left="733"/>
              <w:spacing w:after="0"/>
              <w:rPr>
                <w:sz w:val="20"/>
                <w:szCs w:val="20"/>
                <w:color w:val="auto"/>
              </w:rPr>
            </w:pPr>
            <w:r>
              <w:rPr>
                <w:rFonts w:ascii="Arial" w:cs="Arial" w:eastAsia="Arial" w:hAnsi="Arial"/>
                <w:sz w:val="13"/>
                <w:szCs w:val="13"/>
                <w:b w:val="1"/>
                <w:bCs w:val="1"/>
                <w:color w:val="auto"/>
              </w:rPr>
              <w:t>Davis Polk &amp; Wardwell LLP</w:t>
            </w:r>
          </w:p>
        </w:tc>
      </w:tr>
      <w:tr>
        <w:trPr>
          <w:trHeight w:val="149"/>
        </w:trPr>
        <w:tc>
          <w:tcPr>
            <w:tcW w:w="2760" w:type="dxa"/>
            <w:vAlign w:val="bottom"/>
          </w:tcPr>
          <w:p>
            <w:pPr>
              <w:jc w:val="center"/>
              <w:ind w:right="773"/>
              <w:spacing w:after="0"/>
              <w:rPr>
                <w:sz w:val="20"/>
                <w:szCs w:val="20"/>
                <w:color w:val="auto"/>
              </w:rPr>
            </w:pPr>
            <w:r>
              <w:rPr>
                <w:rFonts w:ascii="Arial" w:cs="Arial" w:eastAsia="Arial" w:hAnsi="Arial"/>
                <w:sz w:val="13"/>
                <w:szCs w:val="13"/>
                <w:b w:val="1"/>
                <w:bCs w:val="1"/>
                <w:color w:val="auto"/>
              </w:rPr>
              <w:t>825 Eighth Avenue</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Los Angeles, California 90017</w:t>
            </w:r>
          </w:p>
        </w:tc>
        <w:tc>
          <w:tcPr>
            <w:tcW w:w="2660" w:type="dxa"/>
            <w:vAlign w:val="bottom"/>
          </w:tcPr>
          <w:p>
            <w:pPr>
              <w:jc w:val="center"/>
              <w:ind w:left="733"/>
              <w:spacing w:after="0"/>
              <w:rPr>
                <w:sz w:val="20"/>
                <w:szCs w:val="20"/>
                <w:color w:val="auto"/>
              </w:rPr>
            </w:pPr>
            <w:r>
              <w:rPr>
                <w:rFonts w:ascii="Arial" w:cs="Arial" w:eastAsia="Arial" w:hAnsi="Arial"/>
                <w:sz w:val="13"/>
                <w:szCs w:val="13"/>
                <w:b w:val="1"/>
                <w:bCs w:val="1"/>
                <w:color w:val="auto"/>
              </w:rPr>
              <w:t>450 Lexington Avenue</w:t>
            </w:r>
          </w:p>
        </w:tc>
      </w:tr>
      <w:tr>
        <w:trPr>
          <w:trHeight w:val="148"/>
        </w:trPr>
        <w:tc>
          <w:tcPr>
            <w:tcW w:w="2760" w:type="dxa"/>
            <w:vAlign w:val="bottom"/>
          </w:tcPr>
          <w:p>
            <w:pPr>
              <w:jc w:val="center"/>
              <w:ind w:right="753"/>
              <w:spacing w:after="0"/>
              <w:rPr>
                <w:sz w:val="20"/>
                <w:szCs w:val="20"/>
                <w:color w:val="auto"/>
              </w:rPr>
            </w:pPr>
            <w:r>
              <w:rPr>
                <w:rFonts w:ascii="Arial" w:cs="Arial" w:eastAsia="Arial" w:hAnsi="Arial"/>
                <w:sz w:val="13"/>
                <w:szCs w:val="13"/>
                <w:b w:val="1"/>
                <w:bCs w:val="1"/>
                <w:color w:val="auto"/>
              </w:rPr>
              <w:t>New York, New York 10019</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Telephone: (213) 316-6256</w:t>
            </w:r>
          </w:p>
        </w:tc>
        <w:tc>
          <w:tcPr>
            <w:tcW w:w="2660" w:type="dxa"/>
            <w:vAlign w:val="bottom"/>
          </w:tcPr>
          <w:p>
            <w:pPr>
              <w:jc w:val="center"/>
              <w:ind w:left="733"/>
              <w:spacing w:after="0"/>
              <w:rPr>
                <w:sz w:val="20"/>
                <w:szCs w:val="20"/>
                <w:color w:val="auto"/>
              </w:rPr>
            </w:pPr>
            <w:r>
              <w:rPr>
                <w:rFonts w:ascii="Arial" w:cs="Arial" w:eastAsia="Arial" w:hAnsi="Arial"/>
                <w:sz w:val="13"/>
                <w:szCs w:val="13"/>
                <w:b w:val="1"/>
                <w:bCs w:val="1"/>
                <w:color w:val="auto"/>
              </w:rPr>
              <w:t>New York, New York 10017</w:t>
            </w:r>
          </w:p>
        </w:tc>
      </w:tr>
      <w:tr>
        <w:trPr>
          <w:trHeight w:val="148"/>
        </w:trPr>
        <w:tc>
          <w:tcPr>
            <w:tcW w:w="2760" w:type="dxa"/>
            <w:vAlign w:val="bottom"/>
          </w:tcPr>
          <w:p>
            <w:pPr>
              <w:jc w:val="center"/>
              <w:ind w:right="753"/>
              <w:spacing w:after="0"/>
              <w:rPr>
                <w:sz w:val="20"/>
                <w:szCs w:val="20"/>
                <w:color w:val="auto"/>
              </w:rPr>
            </w:pPr>
            <w:r>
              <w:rPr>
                <w:rFonts w:ascii="Arial" w:cs="Arial" w:eastAsia="Arial" w:hAnsi="Arial"/>
                <w:sz w:val="13"/>
                <w:szCs w:val="13"/>
                <w:b w:val="1"/>
                <w:bCs w:val="1"/>
                <w:color w:val="auto"/>
              </w:rPr>
              <w:t>Telephone: (212) 474-1000</w:t>
            </w:r>
          </w:p>
        </w:tc>
        <w:tc>
          <w:tcPr>
            <w:tcW w:w="3860" w:type="dxa"/>
            <w:vAlign w:val="bottom"/>
          </w:tcPr>
          <w:p>
            <w:pPr>
              <w:spacing w:after="0"/>
              <w:rPr>
                <w:sz w:val="12"/>
                <w:szCs w:val="12"/>
                <w:color w:val="auto"/>
              </w:rPr>
            </w:pPr>
          </w:p>
        </w:tc>
        <w:tc>
          <w:tcPr>
            <w:tcW w:w="2660" w:type="dxa"/>
            <w:vAlign w:val="bottom"/>
          </w:tcPr>
          <w:p>
            <w:pPr>
              <w:jc w:val="center"/>
              <w:ind w:left="733"/>
              <w:spacing w:after="0"/>
              <w:rPr>
                <w:sz w:val="20"/>
                <w:szCs w:val="20"/>
                <w:color w:val="auto"/>
              </w:rPr>
            </w:pPr>
            <w:r>
              <w:rPr>
                <w:rFonts w:ascii="Arial" w:cs="Arial" w:eastAsia="Arial" w:hAnsi="Arial"/>
                <w:sz w:val="13"/>
                <w:szCs w:val="13"/>
                <w:b w:val="1"/>
                <w:bCs w:val="1"/>
                <w:color w:val="auto"/>
              </w:rPr>
              <w:t>Telephone: (212) 450-4000</w:t>
            </w:r>
          </w:p>
        </w:tc>
      </w:tr>
      <w:tr>
        <w:trPr>
          <w:trHeight w:val="178"/>
        </w:trPr>
        <w:tc>
          <w:tcPr>
            <w:tcW w:w="2760" w:type="dxa"/>
            <w:vAlign w:val="bottom"/>
          </w:tcPr>
          <w:p>
            <w:pPr>
              <w:jc w:val="center"/>
              <w:ind w:right="753"/>
              <w:spacing w:after="0"/>
              <w:rPr>
                <w:sz w:val="20"/>
                <w:szCs w:val="20"/>
                <w:color w:val="auto"/>
              </w:rPr>
            </w:pPr>
            <w:r>
              <w:rPr>
                <w:rFonts w:ascii="Arial" w:cs="Arial" w:eastAsia="Arial" w:hAnsi="Arial"/>
                <w:sz w:val="13"/>
                <w:szCs w:val="13"/>
                <w:b w:val="1"/>
                <w:bCs w:val="1"/>
                <w:color w:val="auto"/>
              </w:rPr>
              <w:t>Telecopy: (212) 474-3700</w:t>
            </w:r>
          </w:p>
        </w:tc>
        <w:tc>
          <w:tcPr>
            <w:tcW w:w="3860" w:type="dxa"/>
            <w:vAlign w:val="bottom"/>
          </w:tcPr>
          <w:p>
            <w:pPr>
              <w:spacing w:after="0"/>
              <w:rPr>
                <w:sz w:val="15"/>
                <w:szCs w:val="15"/>
                <w:color w:val="auto"/>
              </w:rPr>
            </w:pPr>
          </w:p>
        </w:tc>
        <w:tc>
          <w:tcPr>
            <w:tcW w:w="2660" w:type="dxa"/>
            <w:vAlign w:val="bottom"/>
          </w:tcPr>
          <w:p>
            <w:pPr>
              <w:jc w:val="center"/>
              <w:ind w:left="733"/>
              <w:spacing w:after="0"/>
              <w:rPr>
                <w:sz w:val="20"/>
                <w:szCs w:val="20"/>
                <w:color w:val="auto"/>
              </w:rPr>
            </w:pPr>
            <w:r>
              <w:rPr>
                <w:rFonts w:ascii="Arial" w:cs="Arial" w:eastAsia="Arial" w:hAnsi="Arial"/>
                <w:sz w:val="13"/>
                <w:szCs w:val="13"/>
                <w:b w:val="1"/>
                <w:bCs w:val="1"/>
                <w:color w:val="auto"/>
              </w:rPr>
              <w:t>Telecopy: (212) 701-5800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68580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2"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is declared effective.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ind w:left="120"/>
        <w:spacing w:after="0" w:line="131" w:lineRule="exact"/>
        <w:rPr>
          <w:sz w:val="20"/>
          <w:szCs w:val="20"/>
          <w:color w:val="auto"/>
        </w:rPr>
      </w:pPr>
      <w:r>
        <w:rPr>
          <w:rFonts w:ascii="MS PGothic" w:cs="MS PGothic" w:eastAsia="MS PGothic" w:hAnsi="MS PGothic"/>
          <w:sz w:val="13"/>
          <w:szCs w:val="13"/>
          <w:color w:val="auto"/>
        </w:rPr>
        <w:t>☐</w:t>
      </w:r>
    </w:p>
    <w:p>
      <w:pPr>
        <w:spacing w:after="0" w:line="49" w:lineRule="exact"/>
        <w:rPr>
          <w:sz w:val="24"/>
          <w:szCs w:val="24"/>
          <w:color w:val="auto"/>
        </w:rPr>
      </w:pPr>
    </w:p>
    <w:p>
      <w:pPr>
        <w:ind w:left="120" w:right="58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12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12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14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211"/>
        </w:trPr>
        <w:tc>
          <w:tcPr>
            <w:tcW w:w="15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320" w:type="dxa"/>
            <w:vAlign w:val="bottom"/>
          </w:tcPr>
          <w:p>
            <w:pPr>
              <w:ind w:left="3520"/>
              <w:spacing w:after="0"/>
              <w:rPr>
                <w:sz w:val="20"/>
                <w:szCs w:val="20"/>
                <w:color w:val="auto"/>
              </w:rPr>
            </w:pPr>
            <w:r>
              <w:rPr>
                <w:rFonts w:ascii="Arial" w:cs="Arial" w:eastAsia="Arial" w:hAnsi="Arial"/>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8"/>
        </w:trPr>
        <w:tc>
          <w:tcPr>
            <w:tcW w:w="1500" w:type="dxa"/>
            <w:vAlign w:val="bottom"/>
          </w:tcPr>
          <w:p>
            <w:pPr>
              <w:spacing w:after="0"/>
              <w:rPr>
                <w:sz w:val="20"/>
                <w:szCs w:val="20"/>
                <w:color w:val="auto"/>
              </w:rPr>
            </w:pPr>
            <w:r>
              <w:rPr>
                <w:rFonts w:ascii="Arial" w:cs="Arial" w:eastAsia="Arial" w:hAnsi="Arial"/>
                <w:sz w:val="13"/>
                <w:szCs w:val="13"/>
                <w:color w:val="auto"/>
              </w:rPr>
              <w:t>Non-accelerated filer</w:t>
            </w:r>
          </w:p>
        </w:tc>
        <w:tc>
          <w:tcPr>
            <w:tcW w:w="38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320" w:type="dxa"/>
            <w:vAlign w:val="bottom"/>
          </w:tcPr>
          <w:p>
            <w:pPr>
              <w:ind w:left="3520"/>
              <w:spacing w:after="0"/>
              <w:rPr>
                <w:sz w:val="20"/>
                <w:szCs w:val="20"/>
                <w:color w:val="auto"/>
              </w:rPr>
            </w:pPr>
            <w:r>
              <w:rPr>
                <w:rFonts w:ascii="Arial" w:cs="Arial" w:eastAsia="Arial" w:hAnsi="Arial"/>
                <w:sz w:val="13"/>
                <w:szCs w:val="13"/>
                <w:color w:val="auto"/>
              </w:rPr>
              <w:t>Smaller reporting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5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5320" w:type="dxa"/>
            <w:vAlign w:val="bottom"/>
          </w:tcPr>
          <w:p>
            <w:pPr>
              <w:ind w:left="3520"/>
              <w:spacing w:after="0"/>
              <w:rPr>
                <w:sz w:val="20"/>
                <w:szCs w:val="20"/>
                <w:color w:val="auto"/>
              </w:rPr>
            </w:pPr>
            <w:r>
              <w:rPr>
                <w:rFonts w:ascii="Arial" w:cs="Arial" w:eastAsia="Arial" w:hAnsi="Arial"/>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left="120"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52070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8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29"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06"/>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ind w:left="14"/>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ind w:left="14"/>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r>
      <w:tr>
        <w:trPr>
          <w:trHeight w:val="148"/>
        </w:trPr>
        <w:tc>
          <w:tcPr>
            <w:tcW w:w="35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Amount</w:t>
            </w:r>
          </w:p>
        </w:tc>
        <w:tc>
          <w:tcPr>
            <w:tcW w:w="1860" w:type="dxa"/>
            <w:vAlign w:val="bottom"/>
            <w:tcBorders>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maximum</w:t>
            </w:r>
          </w:p>
        </w:tc>
        <w:tc>
          <w:tcPr>
            <w:tcW w:w="1860" w:type="dxa"/>
            <w:vAlign w:val="bottom"/>
            <w:tcBorders>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maximum</w:t>
            </w:r>
          </w:p>
        </w:tc>
        <w:tc>
          <w:tcPr>
            <w:tcW w:w="1860" w:type="dxa"/>
            <w:vAlign w:val="bottom"/>
          </w:tcPr>
          <w:p>
            <w:pPr>
              <w:spacing w:after="0"/>
              <w:rPr>
                <w:sz w:val="12"/>
                <w:szCs w:val="12"/>
                <w:color w:val="auto"/>
              </w:rPr>
            </w:pPr>
          </w:p>
        </w:tc>
      </w:tr>
      <w:tr>
        <w:trPr>
          <w:trHeight w:val="152"/>
        </w:trPr>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Title of each class</w:t>
            </w:r>
          </w:p>
        </w:tc>
        <w:tc>
          <w:tcPr>
            <w:tcW w:w="1880" w:type="dxa"/>
            <w:vAlign w:val="bottom"/>
            <w:tcBorders>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to be</w:t>
            </w:r>
          </w:p>
        </w:tc>
        <w:tc>
          <w:tcPr>
            <w:tcW w:w="1860" w:type="dxa"/>
            <w:vAlign w:val="bottom"/>
            <w:tcBorders>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offering price</w:t>
            </w:r>
          </w:p>
        </w:tc>
        <w:tc>
          <w:tcPr>
            <w:tcW w:w="1860" w:type="dxa"/>
            <w:vAlign w:val="bottom"/>
            <w:tcBorders>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aggregate</w:t>
            </w:r>
          </w:p>
        </w:tc>
        <w:tc>
          <w:tcPr>
            <w:tcW w:w="1860" w:type="dxa"/>
            <w:vAlign w:val="bottom"/>
          </w:tcPr>
          <w:p>
            <w:pPr>
              <w:jc w:val="center"/>
              <w:ind w:left="33"/>
              <w:spacing w:after="0"/>
              <w:rPr>
                <w:sz w:val="20"/>
                <w:szCs w:val="20"/>
                <w:color w:val="auto"/>
              </w:rPr>
            </w:pPr>
            <w:r>
              <w:rPr>
                <w:rFonts w:ascii="Arial" w:cs="Arial" w:eastAsia="Arial" w:hAnsi="Arial"/>
                <w:sz w:val="13"/>
                <w:szCs w:val="13"/>
                <w:b w:val="1"/>
                <w:bCs w:val="1"/>
                <w:color w:val="auto"/>
              </w:rPr>
              <w:t>Amount of</w:t>
            </w:r>
          </w:p>
        </w:tc>
      </w:tr>
      <w:tr>
        <w:trPr>
          <w:trHeight w:val="175"/>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of securities to be registered</w:t>
            </w:r>
          </w:p>
        </w:tc>
        <w:tc>
          <w:tcPr>
            <w:tcW w:w="188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registered(1)</w:t>
            </w:r>
          </w:p>
        </w:tc>
        <w:tc>
          <w:tcPr>
            <w:tcW w:w="18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per share(2)</w:t>
            </w:r>
          </w:p>
        </w:tc>
        <w:tc>
          <w:tcPr>
            <w:tcW w:w="18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offering price(1)(2)</w:t>
            </w:r>
          </w:p>
        </w:tc>
        <w:tc>
          <w:tcPr>
            <w:tcW w:w="186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registration fee(3)</w:t>
            </w:r>
          </w:p>
        </w:tc>
      </w:tr>
      <w:tr>
        <w:trPr>
          <w:trHeight w:val="141"/>
        </w:trPr>
        <w:tc>
          <w:tcPr>
            <w:tcW w:w="3560" w:type="dxa"/>
            <w:vAlign w:val="bottom"/>
            <w:tcBorders>
              <w:right w:val="single" w:sz="8" w:color="auto"/>
            </w:tcBorders>
          </w:tcPr>
          <w:p>
            <w:pPr>
              <w:spacing w:after="0" w:line="141" w:lineRule="exact"/>
              <w:rPr>
                <w:sz w:val="20"/>
                <w:szCs w:val="20"/>
                <w:color w:val="auto"/>
              </w:rPr>
            </w:pPr>
            <w:r>
              <w:rPr>
                <w:rFonts w:ascii="Arial" w:cs="Arial" w:eastAsia="Arial" w:hAnsi="Arial"/>
                <w:sz w:val="13"/>
                <w:szCs w:val="13"/>
                <w:color w:val="auto"/>
              </w:rPr>
              <w:t>Secondary Offering: Class A common stock, $0.01 par</w:t>
            </w:r>
          </w:p>
        </w:tc>
        <w:tc>
          <w:tcPr>
            <w:tcW w:w="18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60" w:type="dxa"/>
            <w:vAlign w:val="bottom"/>
          </w:tcPr>
          <w:p>
            <w:pPr>
              <w:spacing w:after="0"/>
              <w:rPr>
                <w:sz w:val="12"/>
                <w:szCs w:val="12"/>
                <w:color w:val="auto"/>
              </w:rPr>
            </w:pPr>
          </w:p>
        </w:tc>
      </w:tr>
      <w:tr>
        <w:trPr>
          <w:trHeight w:val="149"/>
        </w:trPr>
        <w:tc>
          <w:tcPr>
            <w:tcW w:w="35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value per share</w:t>
            </w:r>
          </w:p>
        </w:tc>
        <w:tc>
          <w:tcPr>
            <w:tcW w:w="188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40"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of Class A common stock granted pursuant to the underwriters’ option to purchase additional shares.</w:t>
      </w:r>
    </w:p>
    <w:p>
      <w:pPr>
        <w:spacing w:after="0" w:line="26" w:lineRule="exact"/>
        <w:rPr>
          <w:rFonts w:ascii="Arial" w:cs="Arial" w:eastAsia="Arial" w:hAnsi="Arial"/>
          <w:sz w:val="13"/>
          <w:szCs w:val="13"/>
          <w:color w:val="auto"/>
        </w:rPr>
      </w:pPr>
    </w:p>
    <w:p>
      <w:pPr>
        <w:ind w:left="440" w:right="80" w:hanging="324"/>
        <w:spacing w:after="0" w:line="238"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proposed maximum offering price per share and proposed maximum aggregate offering price are based on the average of the high and low sales prices of the registrant’s Class A common stock as reported on the</w:t>
      </w:r>
    </w:p>
    <w:p>
      <w:pPr>
        <w:spacing w:after="0" w:line="1"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Arial" w:cs="Arial" w:eastAsia="Arial" w:hAnsi="Arial"/>
                <w:sz w:val="13"/>
                <w:szCs w:val="13"/>
                <w:color w:val="auto"/>
              </w:rPr>
              <w:t>New York Stock Exchange on March</w:t>
            </w:r>
          </w:p>
        </w:tc>
        <w:tc>
          <w:tcPr>
            <w:tcW w:w="660" w:type="dxa"/>
            <w:vAlign w:val="bottom"/>
          </w:tcPr>
          <w:p>
            <w:pPr>
              <w:jc w:val="right"/>
              <w:spacing w:after="0"/>
              <w:rPr>
                <w:sz w:val="20"/>
                <w:szCs w:val="20"/>
                <w:color w:val="auto"/>
              </w:rPr>
            </w:pPr>
            <w:r>
              <w:rPr>
                <w:rFonts w:ascii="Arial" w:cs="Arial" w:eastAsia="Arial" w:hAnsi="Arial"/>
                <w:sz w:val="13"/>
                <w:szCs w:val="13"/>
                <w:color w:val="auto"/>
              </w:rPr>
              <w:t>, 2021.</w:t>
            </w:r>
          </w:p>
        </w:tc>
      </w:tr>
    </w:tbl>
    <w:p>
      <w:pPr>
        <w:spacing w:after="0" w:line="13" w:lineRule="exact"/>
        <w:rPr>
          <w:sz w:val="24"/>
          <w:szCs w:val="24"/>
          <w:color w:val="auto"/>
        </w:rPr>
      </w:pPr>
    </w:p>
    <w:p>
      <w:pPr>
        <w:jc w:val="both"/>
        <w:ind w:left="120" w:right="20"/>
        <w:spacing w:after="0" w:line="248" w:lineRule="auto"/>
        <w:rPr>
          <w:sz w:val="20"/>
          <w:szCs w:val="20"/>
          <w:color w:val="auto"/>
        </w:rPr>
      </w:pPr>
      <w:r>
        <w:rPr>
          <w:rFonts w:ascii="Arial" w:cs="Arial" w:eastAsia="Arial" w:hAnsi="Arial"/>
          <w:sz w:val="13"/>
          <w:szCs w:val="13"/>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CONFIDENTIAL TREATMENT REQUESTED</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PURSUANT TO 17 C.F.R. SECTION 200.83</w:t>
      </w:r>
    </w:p>
    <w:p>
      <w:pPr>
        <w:spacing w:after="0" w:line="259"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CC062A"/>
        </w:rPr>
        <w:t>The information in this preliminary prospectus is not complete and may be changed. The selling stockholders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0" w:lineRule="exact"/>
        <w:rPr>
          <w:sz w:val="20"/>
          <w:szCs w:val="20"/>
          <w:color w:val="auto"/>
        </w:rPr>
      </w:pPr>
    </w:p>
    <w:p>
      <w:pPr>
        <w:ind w:left="120"/>
        <w:spacing w:after="0"/>
        <w:tabs>
          <w:tab w:leader="none" w:pos="3480" w:val="left"/>
        </w:tabs>
        <w:rPr>
          <w:sz w:val="20"/>
          <w:szCs w:val="20"/>
          <w:color w:val="auto"/>
        </w:rPr>
      </w:pPr>
      <w:r>
        <w:rPr>
          <w:rFonts w:ascii="Arial" w:cs="Arial" w:eastAsia="Arial" w:hAnsi="Arial"/>
          <w:sz w:val="18"/>
          <w:szCs w:val="18"/>
          <w:color w:val="CC062A"/>
        </w:rPr>
        <w:t>Subject to completion, dated March</w:t>
      </w:r>
      <w:r>
        <w:rPr>
          <w:sz w:val="20"/>
          <w:szCs w:val="20"/>
          <w:color w:val="auto"/>
        </w:rPr>
        <w:tab/>
      </w:r>
      <w:r>
        <w:rPr>
          <w:rFonts w:ascii="Arial" w:cs="Arial" w:eastAsia="Arial" w:hAnsi="Arial"/>
          <w:sz w:val="16"/>
          <w:szCs w:val="16"/>
          <w:color w:val="CC062A"/>
        </w:rPr>
        <w:t>, 2021.</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Preliminary prospectus</w:t>
      </w:r>
    </w:p>
    <w:p>
      <w:pPr>
        <w:spacing w:after="0" w:line="64" w:lineRule="exact"/>
        <w:rPr>
          <w:sz w:val="20"/>
          <w:szCs w:val="20"/>
          <w:color w:val="auto"/>
        </w:rPr>
      </w:pPr>
    </w:p>
    <w:p>
      <w:pPr>
        <w:ind w:left="120"/>
        <w:spacing w:after="0"/>
        <w:tabs>
          <w:tab w:leader="none" w:pos="4700" w:val="left"/>
        </w:tabs>
        <w:rPr>
          <w:sz w:val="20"/>
          <w:szCs w:val="20"/>
          <w:color w:val="auto"/>
        </w:rPr>
      </w:pPr>
      <w:r>
        <w:rPr>
          <w:rFonts w:ascii="Arial" w:cs="Arial" w:eastAsia="Arial" w:hAnsi="Arial"/>
          <w:sz w:val="32"/>
          <w:szCs w:val="32"/>
          <w:b w:val="1"/>
          <w:bCs w:val="1"/>
          <w:i w:val="1"/>
          <w:iCs w:val="1"/>
          <w:color w:val="auto"/>
        </w:rPr>
        <w:t>Secondary offering of</w:t>
      </w:r>
      <w:r>
        <w:rPr>
          <w:sz w:val="20"/>
          <w:szCs w:val="20"/>
          <w:color w:val="auto"/>
        </w:rPr>
        <w:tab/>
      </w:r>
      <w:r>
        <w:rPr>
          <w:rFonts w:ascii="Arial" w:cs="Arial" w:eastAsia="Arial" w:hAnsi="Arial"/>
          <w:sz w:val="32"/>
          <w:szCs w:val="32"/>
          <w:b w:val="1"/>
          <w:bCs w:val="1"/>
          <w:i w:val="1"/>
          <w:i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1722755"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27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MediaAlpha, Inc.</w:t>
      </w:r>
    </w:p>
    <w:p>
      <w:pPr>
        <w:spacing w:after="0" w:line="11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The selling stockholders identified in this prospectus are selling shares of our Class A common stock. MediaAlpha, Inc. will not be selling any shares of our Class A common stock under this prospectus and will not receive any proceeds from the sale of the shares by the selling stockholders, including any shares the selling stockholders may sell pursuant to the underwriters’ option to purchase additional shares of Class A common stock.</w:t>
      </w:r>
    </w:p>
    <w:p>
      <w:pPr>
        <w:spacing w:after="0" w:line="60"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We have two classes of common stock. Both the Class A common stock offered hereby and the Class B common stock have one vote per share. We are a holding company and our sole material asset is all of the shares of our wholly owned subsidiary, Guilford Holdings, Inc. (“Intermediate Holdco”), which in turn owns all of the Class A-1 units of QL Holdings LLC. After giving effect to this offering, the holders of our</w:t>
      </w:r>
    </w:p>
    <w:p>
      <w:pPr>
        <w:ind w:left="120"/>
        <w:spacing w:after="0"/>
        <w:tabs>
          <w:tab w:leader="none" w:pos="8880" w:val="left"/>
        </w:tabs>
        <w:rPr>
          <w:sz w:val="20"/>
          <w:szCs w:val="20"/>
          <w:color w:val="auto"/>
        </w:rPr>
      </w:pPr>
      <w:r>
        <w:rPr>
          <w:rFonts w:ascii="Arial" w:cs="Arial" w:eastAsia="Arial" w:hAnsi="Arial"/>
          <w:sz w:val="18"/>
          <w:szCs w:val="18"/>
          <w:color w:val="auto"/>
        </w:rPr>
        <w:t>Class A common stock will collectively own 100% of the economic interests in MediaAlpha, Inc. and have</w:t>
      </w:r>
      <w:r>
        <w:rPr>
          <w:sz w:val="20"/>
          <w:szCs w:val="20"/>
          <w:color w:val="auto"/>
        </w:rPr>
        <w:tab/>
      </w:r>
      <w:r>
        <w:rPr>
          <w:rFonts w:ascii="Arial" w:cs="Arial" w:eastAsia="Arial" w:hAnsi="Arial"/>
          <w:sz w:val="16"/>
          <w:szCs w:val="16"/>
          <w:color w:val="auto"/>
        </w:rPr>
        <w:t>% of the voting power of</w:t>
      </w:r>
    </w:p>
    <w:p>
      <w:pPr>
        <w:ind w:left="120"/>
        <w:spacing w:after="0"/>
        <w:tabs>
          <w:tab w:leader="none" w:pos="2300" w:val="left"/>
        </w:tabs>
        <w:rPr>
          <w:sz w:val="20"/>
          <w:szCs w:val="20"/>
          <w:color w:val="auto"/>
        </w:rPr>
      </w:pPr>
      <w:r>
        <w:rPr>
          <w:rFonts w:ascii="Arial" w:cs="Arial" w:eastAsia="Arial" w:hAnsi="Arial"/>
          <w:sz w:val="18"/>
          <w:szCs w:val="18"/>
          <w:color w:val="auto"/>
        </w:rPr>
        <w:t>MediaAlpha, Inc. (or</w:t>
      </w:r>
      <w:r>
        <w:rPr>
          <w:sz w:val="20"/>
          <w:szCs w:val="20"/>
          <w:color w:val="auto"/>
        </w:rPr>
        <w:tab/>
      </w:r>
      <w:r>
        <w:rPr>
          <w:rFonts w:ascii="Arial" w:cs="Arial" w:eastAsia="Arial" w:hAnsi="Arial"/>
          <w:sz w:val="16"/>
          <w:szCs w:val="16"/>
          <w:color w:val="auto"/>
        </w:rPr>
        <w:t>% if the underwriters exercise their option to purchase additional shares of Class A common stock in full). The</w:t>
      </w:r>
    </w:p>
    <w:p>
      <w:pPr>
        <w:ind w:left="120"/>
        <w:spacing w:after="0"/>
        <w:tabs>
          <w:tab w:leader="none" w:pos="9900" w:val="left"/>
        </w:tabs>
        <w:rPr>
          <w:sz w:val="20"/>
          <w:szCs w:val="20"/>
          <w:color w:val="auto"/>
        </w:rPr>
      </w:pPr>
      <w:r>
        <w:rPr>
          <w:rFonts w:ascii="Arial" w:cs="Arial" w:eastAsia="Arial" w:hAnsi="Arial"/>
          <w:sz w:val="18"/>
          <w:szCs w:val="18"/>
          <w:color w:val="auto"/>
        </w:rPr>
        <w:t>other owners of QL Holdings LLC, Insignia and the Senior Executives (each as defined below), will have the remaining</w:t>
      </w:r>
      <w:r>
        <w:rPr>
          <w:sz w:val="20"/>
          <w:szCs w:val="20"/>
          <w:color w:val="auto"/>
        </w:rPr>
        <w:tab/>
      </w:r>
      <w:r>
        <w:rPr>
          <w:rFonts w:ascii="Arial" w:cs="Arial" w:eastAsia="Arial" w:hAnsi="Arial"/>
          <w:sz w:val="16"/>
          <w:szCs w:val="16"/>
          <w:color w:val="auto"/>
        </w:rPr>
        <w:t>% of the voting</w:t>
      </w:r>
    </w:p>
    <w:p>
      <w:pPr>
        <w:ind w:left="120"/>
        <w:spacing w:after="0"/>
        <w:tabs>
          <w:tab w:leader="none" w:pos="8140" w:val="left"/>
        </w:tabs>
        <w:rPr>
          <w:sz w:val="20"/>
          <w:szCs w:val="20"/>
          <w:color w:val="auto"/>
        </w:rPr>
      </w:pPr>
      <w:r>
        <w:rPr>
          <w:rFonts w:ascii="Arial" w:cs="Arial" w:eastAsia="Arial" w:hAnsi="Arial"/>
          <w:sz w:val="18"/>
          <w:szCs w:val="18"/>
          <w:color w:val="auto"/>
        </w:rPr>
        <w:t>power of MediaAlpha, Inc. through direct or indirect ownership of our Class B common stock (or</w:t>
      </w:r>
      <w:r>
        <w:rPr>
          <w:sz w:val="20"/>
          <w:szCs w:val="20"/>
          <w:color w:val="auto"/>
        </w:rPr>
        <w:tab/>
      </w:r>
      <w:r>
        <w:rPr>
          <w:rFonts w:ascii="Arial" w:cs="Arial" w:eastAsia="Arial" w:hAnsi="Arial"/>
          <w:sz w:val="16"/>
          <w:szCs w:val="16"/>
          <w:color w:val="auto"/>
        </w:rPr>
        <w:t>% if the underwriters exercise their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option to purchase additional shares of Class A common stock in full). White Mountains (as defined below) and the other holders of our Class</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Arial" w:cs="Arial" w:eastAsia="Arial" w:hAnsi="Arial"/>
                <w:sz w:val="18"/>
                <w:szCs w:val="18"/>
                <w:color w:val="auto"/>
              </w:rPr>
              <w:t>A common stock (“public stockholders”) will indirectly own</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 and</w:t>
            </w:r>
          </w:p>
        </w:tc>
        <w:tc>
          <w:tcPr>
            <w:tcW w:w="5140" w:type="dxa"/>
            <w:vAlign w:val="bottom"/>
            <w:gridSpan w:val="4"/>
          </w:tcPr>
          <w:p>
            <w:pPr>
              <w:ind w:left="440"/>
              <w:spacing w:after="0"/>
              <w:rPr>
                <w:sz w:val="20"/>
                <w:szCs w:val="20"/>
                <w:color w:val="auto"/>
              </w:rPr>
            </w:pPr>
            <w:r>
              <w:rPr>
                <w:rFonts w:ascii="Arial" w:cs="Arial" w:eastAsia="Arial" w:hAnsi="Arial"/>
                <w:sz w:val="18"/>
                <w:szCs w:val="18"/>
                <w:color w:val="auto"/>
              </w:rPr>
              <w:t>%, respectively, of the economic interests in QL Holdings</w:t>
            </w:r>
          </w:p>
        </w:tc>
      </w:tr>
      <w:tr>
        <w:trPr>
          <w:trHeight w:val="202"/>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LLC through MediaAlpha, Inc. and Intermediate Holdco (or</w:t>
            </w:r>
          </w:p>
        </w:tc>
        <w:tc>
          <w:tcPr>
            <w:tcW w:w="9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220"/>
              <w:spacing w:after="0" w:line="202" w:lineRule="exact"/>
              <w:rPr>
                <w:sz w:val="20"/>
                <w:szCs w:val="20"/>
                <w:color w:val="auto"/>
              </w:rPr>
            </w:pPr>
            <w:r>
              <w:rPr>
                <w:rFonts w:ascii="Arial" w:cs="Arial" w:eastAsia="Arial" w:hAnsi="Arial"/>
                <w:sz w:val="18"/>
                <w:szCs w:val="18"/>
                <w:color w:val="auto"/>
              </w:rPr>
              <w:t>%, and</w:t>
            </w:r>
          </w:p>
        </w:tc>
        <w:tc>
          <w:tcPr>
            <w:tcW w:w="406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96"/>
              </w:rPr>
              <w:t>%, respectively, if the underwriters exercise their</w:t>
            </w:r>
          </w:p>
        </w:tc>
      </w:tr>
      <w:tr>
        <w:trPr>
          <w:trHeight w:val="203"/>
        </w:trPr>
        <w:tc>
          <w:tcPr>
            <w:tcW w:w="7640" w:type="dxa"/>
            <w:vAlign w:val="bottom"/>
            <w:gridSpan w:val="6"/>
          </w:tcPr>
          <w:p>
            <w:pPr>
              <w:spacing w:after="0" w:line="202" w:lineRule="exact"/>
              <w:rPr>
                <w:sz w:val="20"/>
                <w:szCs w:val="20"/>
                <w:color w:val="auto"/>
              </w:rPr>
            </w:pPr>
            <w:r>
              <w:rPr>
                <w:rFonts w:ascii="Arial" w:cs="Arial" w:eastAsia="Arial" w:hAnsi="Arial"/>
                <w:sz w:val="18"/>
                <w:szCs w:val="18"/>
                <w:color w:val="auto"/>
              </w:rPr>
              <w:t>option to purchase additional shares of Class A common stock in full). Insignia will directly own</w:t>
            </w:r>
          </w:p>
        </w:tc>
        <w:tc>
          <w:tcPr>
            <w:tcW w:w="33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 of the economic interests in QL</w:t>
            </w: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Holdings LLC (or</w:t>
            </w:r>
          </w:p>
        </w:tc>
        <w:tc>
          <w:tcPr>
            <w:tcW w:w="9320" w:type="dxa"/>
            <w:vAlign w:val="bottom"/>
            <w:gridSpan w:val="7"/>
          </w:tcPr>
          <w:p>
            <w:pPr>
              <w:ind w:left="320"/>
              <w:spacing w:after="0" w:line="202" w:lineRule="exact"/>
              <w:rPr>
                <w:sz w:val="20"/>
                <w:szCs w:val="20"/>
                <w:color w:val="auto"/>
              </w:rPr>
            </w:pPr>
            <w:r>
              <w:rPr>
                <w:rFonts w:ascii="Arial" w:cs="Arial" w:eastAsia="Arial" w:hAnsi="Arial"/>
                <w:sz w:val="18"/>
                <w:szCs w:val="18"/>
                <w:color w:val="auto"/>
                <w:w w:val="99"/>
              </w:rPr>
              <w:t>% if the underwriters exercise their option to purchase additional shares of Class A common stock in full), and the</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Senior Executives will directly or indirectly own</w:t>
            </w:r>
          </w:p>
        </w:tc>
        <w:tc>
          <w:tcPr>
            <w:tcW w:w="4620" w:type="dxa"/>
            <w:vAlign w:val="bottom"/>
            <w:gridSpan w:val="5"/>
          </w:tcPr>
          <w:p>
            <w:pPr>
              <w:ind w:left="300"/>
              <w:spacing w:after="0" w:line="202" w:lineRule="exact"/>
              <w:rPr>
                <w:sz w:val="20"/>
                <w:szCs w:val="20"/>
                <w:color w:val="auto"/>
              </w:rPr>
            </w:pPr>
            <w:r>
              <w:rPr>
                <w:rFonts w:ascii="Arial" w:cs="Arial" w:eastAsia="Arial" w:hAnsi="Arial"/>
                <w:sz w:val="18"/>
                <w:szCs w:val="18"/>
                <w:color w:val="auto"/>
              </w:rPr>
              <w:t>% of the economic interests in QL Holdings LLC (or</w:t>
            </w:r>
          </w:p>
        </w:tc>
        <w:tc>
          <w:tcPr>
            <w:tcW w:w="2380" w:type="dxa"/>
            <w:vAlign w:val="bottom"/>
          </w:tcPr>
          <w:p>
            <w:pPr>
              <w:ind w:left="320"/>
              <w:spacing w:after="0" w:line="202" w:lineRule="exact"/>
              <w:rPr>
                <w:sz w:val="20"/>
                <w:szCs w:val="20"/>
                <w:color w:val="auto"/>
              </w:rPr>
            </w:pPr>
            <w:r>
              <w:rPr>
                <w:rFonts w:ascii="Arial" w:cs="Arial" w:eastAsia="Arial" w:hAnsi="Arial"/>
                <w:sz w:val="18"/>
                <w:szCs w:val="18"/>
                <w:color w:val="auto"/>
              </w:rPr>
              <w:t>% if the underwriters</w:t>
            </w:r>
          </w:p>
        </w:tc>
      </w:tr>
    </w:tbl>
    <w:p>
      <w:pPr>
        <w:ind w:left="120" w:right="180"/>
        <w:spacing w:after="0" w:line="239" w:lineRule="auto"/>
        <w:rPr>
          <w:sz w:val="20"/>
          <w:szCs w:val="20"/>
          <w:color w:val="auto"/>
        </w:rPr>
      </w:pPr>
      <w:r>
        <w:rPr>
          <w:rFonts w:ascii="Arial" w:cs="Arial" w:eastAsia="Arial" w:hAnsi="Arial"/>
          <w:sz w:val="18"/>
          <w:szCs w:val="18"/>
          <w:color w:val="auto"/>
        </w:rPr>
        <w:t>exercise their option to purchase additional shares of Class A common stock in full). See “Prospectus summary—The offering” for additional information.</w:t>
      </w:r>
    </w:p>
    <w:p>
      <w:pPr>
        <w:spacing w:after="0" w:line="60" w:lineRule="exact"/>
        <w:rPr>
          <w:sz w:val="20"/>
          <w:szCs w:val="20"/>
          <w:color w:val="auto"/>
        </w:rPr>
      </w:pPr>
    </w:p>
    <w:p>
      <w:pPr>
        <w:ind w:left="120" w:right="240"/>
        <w:spacing w:after="0" w:line="264" w:lineRule="auto"/>
        <w:rPr>
          <w:sz w:val="20"/>
          <w:szCs w:val="20"/>
          <w:color w:val="auto"/>
        </w:rPr>
      </w:pPr>
      <w:r>
        <w:rPr>
          <w:rFonts w:ascii="Arial" w:cs="Arial" w:eastAsia="Arial" w:hAnsi="Arial"/>
          <w:sz w:val="16"/>
          <w:szCs w:val="16"/>
          <w:color w:val="auto"/>
        </w:rPr>
        <w:t>Prior to the consummation of this offering, certain of the selling stockholders will exchange Class B-1 units of QL Holdings, LLC (“Class B-1 units”), together with corresponding shares of our Class B common stock, for shares of our Class A common stock, as described under “Organizational structure—Fourth amended and restated limited liability company agreement of QL Holdings LLC—Exchange agreement.” Certain affiliates of each of White Mountains, Insignia, and our Founders (each as defined herein) are parties to a stockholders agreement</w:t>
      </w:r>
    </w:p>
    <w:p>
      <w:pPr>
        <w:ind w:left="120"/>
        <w:spacing w:after="0"/>
        <w:tabs>
          <w:tab w:leader="none" w:pos="6380" w:val="left"/>
        </w:tabs>
        <w:rPr>
          <w:sz w:val="20"/>
          <w:szCs w:val="20"/>
          <w:color w:val="auto"/>
        </w:rPr>
      </w:pPr>
      <w:r>
        <w:rPr>
          <w:rFonts w:ascii="Arial" w:cs="Arial" w:eastAsia="Arial" w:hAnsi="Arial"/>
          <w:sz w:val="18"/>
          <w:szCs w:val="18"/>
          <w:color w:val="auto"/>
        </w:rPr>
        <w:t>and, after giving effect to this offering, will beneficially own approximately</w:t>
      </w:r>
      <w:r>
        <w:rPr>
          <w:sz w:val="20"/>
          <w:szCs w:val="20"/>
          <w:color w:val="auto"/>
        </w:rPr>
        <w:tab/>
      </w:r>
      <w:r>
        <w:rPr>
          <w:rFonts w:ascii="Arial" w:cs="Arial" w:eastAsia="Arial" w:hAnsi="Arial"/>
          <w:sz w:val="16"/>
          <w:szCs w:val="16"/>
          <w:color w:val="auto"/>
        </w:rPr>
        <w:t>% of the combined voting power of our Class A common</w:t>
      </w:r>
    </w:p>
    <w:p>
      <w:pPr>
        <w:ind w:left="120"/>
        <w:spacing w:after="0"/>
        <w:tabs>
          <w:tab w:leader="none" w:pos="3580" w:val="left"/>
        </w:tabs>
        <w:rPr>
          <w:sz w:val="20"/>
          <w:szCs w:val="20"/>
          <w:color w:val="auto"/>
        </w:rPr>
      </w:pPr>
      <w:r>
        <w:rPr>
          <w:rFonts w:ascii="Arial" w:cs="Arial" w:eastAsia="Arial" w:hAnsi="Arial"/>
          <w:sz w:val="18"/>
          <w:szCs w:val="18"/>
          <w:color w:val="auto"/>
        </w:rPr>
        <w:t>stock and Class B common stock (or</w:t>
      </w:r>
      <w:r>
        <w:rPr>
          <w:sz w:val="20"/>
          <w:szCs w:val="20"/>
          <w:color w:val="auto"/>
        </w:rPr>
        <w:tab/>
      </w:r>
      <w:r>
        <w:rPr>
          <w:rFonts w:ascii="Arial" w:cs="Arial" w:eastAsia="Arial" w:hAnsi="Arial"/>
          <w:sz w:val="16"/>
          <w:szCs w:val="16"/>
          <w:color w:val="auto"/>
        </w:rPr>
        <w:t>% if the underwriters exercise in full their option to purchase additional shares of Class A</w:t>
      </w:r>
    </w:p>
    <w:p>
      <w:pPr>
        <w:ind w:left="120"/>
        <w:spacing w:after="0"/>
        <w:rPr>
          <w:sz w:val="20"/>
          <w:szCs w:val="20"/>
          <w:color w:val="auto"/>
        </w:rPr>
      </w:pPr>
      <w:r>
        <w:rPr>
          <w:rFonts w:ascii="Arial" w:cs="Arial" w:eastAsia="Arial" w:hAnsi="Arial"/>
          <w:sz w:val="18"/>
          <w:szCs w:val="18"/>
          <w:color w:val="auto"/>
        </w:rPr>
        <w:t>common stock).</w:t>
      </w:r>
    </w:p>
    <w:p>
      <w:pPr>
        <w:spacing w:after="0" w:line="59" w:lineRule="exact"/>
        <w:rPr>
          <w:sz w:val="20"/>
          <w:szCs w:val="20"/>
          <w:color w:val="auto"/>
        </w:rPr>
      </w:pPr>
    </w:p>
    <w:p>
      <w:pPr>
        <w:ind w:left="120"/>
        <w:spacing w:after="0"/>
        <w:tabs>
          <w:tab w:leader="none" w:pos="10880" w:val="left"/>
        </w:tabs>
        <w:rPr>
          <w:sz w:val="20"/>
          <w:szCs w:val="20"/>
          <w:color w:val="auto"/>
        </w:rPr>
      </w:pPr>
      <w:r>
        <w:rPr>
          <w:rFonts w:ascii="Arial" w:cs="Arial" w:eastAsia="Arial" w:hAnsi="Arial"/>
          <w:sz w:val="18"/>
          <w:szCs w:val="18"/>
          <w:color w:val="auto"/>
        </w:rPr>
        <w:t>Our Class A common stock is listed and traded on the New York Stock Exchange (the “NYSE”) under the symbol “MAX.” On March</w:t>
      </w:r>
      <w:r>
        <w:rPr>
          <w:sz w:val="20"/>
          <w:szCs w:val="20"/>
          <w:color w:val="auto"/>
        </w:rPr>
        <w:tab/>
      </w:r>
      <w:r>
        <w:rPr>
          <w:rFonts w:ascii="Arial" w:cs="Arial" w:eastAsia="Arial" w:hAnsi="Arial"/>
          <w:sz w:val="14"/>
          <w:szCs w:val="14"/>
          <w:color w:val="auto"/>
        </w:rPr>
        <w:t>,</w:t>
      </w:r>
    </w:p>
    <w:p>
      <w:pPr>
        <w:ind w:left="120"/>
        <w:spacing w:after="0"/>
        <w:tabs>
          <w:tab w:leader="none" w:pos="7280" w:val="left"/>
        </w:tabs>
        <w:rPr>
          <w:sz w:val="20"/>
          <w:szCs w:val="20"/>
          <w:color w:val="auto"/>
        </w:rPr>
      </w:pPr>
      <w:r>
        <w:rPr>
          <w:rFonts w:ascii="Arial" w:cs="Arial" w:eastAsia="Arial" w:hAnsi="Arial"/>
          <w:sz w:val="18"/>
          <w:szCs w:val="18"/>
          <w:color w:val="auto"/>
        </w:rPr>
        <w:t>2021 the closing price of our Class A common stock as reported on the NYSE was $</w:t>
      </w:r>
      <w:r>
        <w:rPr>
          <w:sz w:val="20"/>
          <w:szCs w:val="20"/>
          <w:color w:val="auto"/>
        </w:rPr>
        <w:tab/>
      </w:r>
      <w:r>
        <w:rPr>
          <w:rFonts w:ascii="Arial" w:cs="Arial" w:eastAsia="Arial" w:hAnsi="Arial"/>
          <w:sz w:val="16"/>
          <w:szCs w:val="16"/>
          <w:color w:val="auto"/>
        </w:rPr>
        <w:t>per share.</w:t>
      </w:r>
    </w:p>
    <w:p>
      <w:pPr>
        <w:spacing w:after="0" w:line="63" w:lineRule="exact"/>
        <w:rPr>
          <w:sz w:val="20"/>
          <w:szCs w:val="20"/>
          <w:color w:val="auto"/>
        </w:rPr>
      </w:pPr>
    </w:p>
    <w:p>
      <w:pPr>
        <w:ind w:left="120" w:right="820"/>
        <w:spacing w:after="0" w:line="239" w:lineRule="auto"/>
        <w:rPr>
          <w:sz w:val="20"/>
          <w:szCs w:val="20"/>
          <w:color w:val="auto"/>
        </w:rPr>
      </w:pPr>
      <w:r>
        <w:rPr>
          <w:rFonts w:ascii="Arial" w:cs="Arial" w:eastAsia="Arial" w:hAnsi="Arial"/>
          <w:sz w:val="18"/>
          <w:szCs w:val="18"/>
          <w:color w:val="auto"/>
        </w:rPr>
        <w:t>We are a “controlled company” as defined in the corporate governance rules of the NYSE and, therefore, we qualify for, and rely on, exemptions from certain corporate governance requirements. See “Management—Controlled company.”</w:t>
      </w:r>
    </w:p>
    <w:p>
      <w:pPr>
        <w:spacing w:after="0" w:line="60"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(the “JOBS Act”) and, under applicable Securities and Exchange Commission (“SEC”) rules, we have elected to take advantage of certain reduced public company reporting requirements for this prospectus and future filings.</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2"/>
          </w:tcPr>
          <w:p>
            <w:pPr>
              <w:ind w:left="2020"/>
              <w:spacing w:after="0"/>
              <w:rPr>
                <w:sz w:val="20"/>
                <w:szCs w:val="20"/>
                <w:color w:val="auto"/>
              </w:rPr>
            </w:pPr>
            <w:r>
              <w:rPr>
                <w:rFonts w:ascii="Arial" w:cs="Arial" w:eastAsia="Arial" w:hAnsi="Arial"/>
                <w:sz w:val="18"/>
                <w:szCs w:val="18"/>
                <w:b w:val="1"/>
                <w:bCs w:val="1"/>
                <w:color w:val="auto"/>
              </w:rPr>
              <w:t>Per share</w:t>
            </w: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w:t>
            </w:r>
          </w:p>
        </w:tc>
      </w:tr>
      <w:tr>
        <w:trPr>
          <w:trHeight w:val="48"/>
        </w:trPr>
        <w:tc>
          <w:tcPr>
            <w:tcW w:w="72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Offering price</w:t>
            </w:r>
          </w:p>
        </w:tc>
        <w:tc>
          <w:tcPr>
            <w:tcW w:w="2420" w:type="dxa"/>
            <w:vAlign w:val="bottom"/>
            <w:shd w:val="clear" w:color="auto" w:fill="CCEEFF"/>
          </w:tcPr>
          <w:p>
            <w:pPr>
              <w:ind w:left="20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r>
      <w:tr>
        <w:trPr>
          <w:trHeight w:val="281"/>
        </w:trPr>
        <w:tc>
          <w:tcPr>
            <w:tcW w:w="72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1"/>
                <w:szCs w:val="11"/>
                <w:color w:val="auto"/>
              </w:rPr>
              <w:t>(1)</w:t>
            </w:r>
          </w:p>
        </w:tc>
        <w:tc>
          <w:tcPr>
            <w:tcW w:w="2420" w:type="dxa"/>
            <w:vAlign w:val="bottom"/>
          </w:tcPr>
          <w:p>
            <w:pPr>
              <w:ind w:left="20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56"/>
        </w:trPr>
        <w:tc>
          <w:tcPr>
            <w:tcW w:w="72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selling stockholders, before expenses</w:t>
            </w:r>
          </w:p>
        </w:tc>
        <w:tc>
          <w:tcPr>
            <w:tcW w:w="2420" w:type="dxa"/>
            <w:vAlign w:val="bottom"/>
            <w:shd w:val="clear" w:color="auto" w:fill="CCEEFF"/>
          </w:tcPr>
          <w:p>
            <w:pPr>
              <w:ind w:left="20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r>
      <w:tr>
        <w:trPr>
          <w:trHeight w:val="229"/>
        </w:trPr>
        <w:tc>
          <w:tcPr>
            <w:tcW w:w="7220" w:type="dxa"/>
            <w:vAlign w:val="bottom"/>
          </w:tcPr>
          <w:p>
            <w:pPr>
              <w:spacing w:after="0"/>
              <w:rPr>
                <w:sz w:val="20"/>
                <w:szCs w:val="20"/>
                <w:color w:val="auto"/>
              </w:rPr>
            </w:pPr>
            <w:r>
              <w:rPr>
                <w:rFonts w:ascii="Arial" w:cs="Arial" w:eastAsia="Arial" w:hAnsi="Arial"/>
                <w:sz w:val="13"/>
                <w:szCs w:val="13"/>
                <w:color w:val="auto"/>
              </w:rPr>
              <w:t>(1)  See “Underwriting” for additional information regarding underwriter compensation.</w:t>
            </w:r>
          </w:p>
        </w:tc>
        <w:tc>
          <w:tcPr>
            <w:tcW w:w="2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0"/>
        </w:trPr>
        <w:tc>
          <w:tcPr>
            <w:tcW w:w="9640" w:type="dxa"/>
            <w:vAlign w:val="bottom"/>
            <w:gridSpan w:val="2"/>
          </w:tcPr>
          <w:p>
            <w:pPr>
              <w:spacing w:after="0"/>
              <w:rPr>
                <w:sz w:val="20"/>
                <w:szCs w:val="20"/>
                <w:color w:val="auto"/>
              </w:rPr>
            </w:pPr>
            <w:r>
              <w:rPr>
                <w:rFonts w:ascii="Arial" w:cs="Arial" w:eastAsia="Arial" w:hAnsi="Arial"/>
                <w:sz w:val="18"/>
                <w:szCs w:val="18"/>
                <w:color w:val="auto"/>
              </w:rPr>
              <w:t>The selling stockholders have granted the underwriters an option for a period of 30 days to purchase up to an additional</w:t>
            </w: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w w:val="98"/>
              </w:rPr>
              <w:t>shares of our</w:t>
            </w:r>
          </w:p>
        </w:tc>
      </w:tr>
      <w:tr>
        <w:trPr>
          <w:trHeight w:val="211"/>
        </w:trPr>
        <w:tc>
          <w:tcPr>
            <w:tcW w:w="7220" w:type="dxa"/>
            <w:vAlign w:val="bottom"/>
          </w:tcPr>
          <w:p>
            <w:pPr>
              <w:spacing w:after="0"/>
              <w:rPr>
                <w:sz w:val="20"/>
                <w:szCs w:val="20"/>
                <w:color w:val="auto"/>
              </w:rPr>
            </w:pPr>
            <w:r>
              <w:rPr>
                <w:rFonts w:ascii="Arial" w:cs="Arial" w:eastAsia="Arial" w:hAnsi="Arial"/>
                <w:sz w:val="18"/>
                <w:szCs w:val="18"/>
                <w:color w:val="auto"/>
              </w:rPr>
              <w:t>Class A common stock.</w:t>
            </w:r>
          </w:p>
        </w:tc>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37" w:lineRule="exact"/>
        <w:rPr>
          <w:sz w:val="20"/>
          <w:szCs w:val="20"/>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Class A common stock involves risks. See “</w:t>
      </w:r>
      <w:hyperlink w:anchor="page3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22.</w:t>
      </w:r>
    </w:p>
    <w:p>
      <w:pPr>
        <w:spacing w:after="0" w:line="63" w:lineRule="exact"/>
        <w:rPr>
          <w:sz w:val="20"/>
          <w:szCs w:val="20"/>
          <w:color w:val="auto"/>
        </w:rPr>
      </w:pPr>
    </w:p>
    <w:p>
      <w:pPr>
        <w:ind w:left="120" w:right="200"/>
        <w:spacing w:after="0" w:line="264" w:lineRule="auto"/>
        <w:rPr>
          <w:sz w:val="20"/>
          <w:szCs w:val="20"/>
          <w:color w:val="auto"/>
        </w:rPr>
      </w:pPr>
      <w:r>
        <w:rPr>
          <w:rFonts w:ascii="Arial" w:cs="Arial" w:eastAsia="Arial" w:hAnsi="Arial"/>
          <w:sz w:val="18"/>
          <w:szCs w:val="18"/>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48260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6" w:lineRule="exact"/>
        <w:rPr>
          <w:sz w:val="20"/>
          <w:szCs w:val="20"/>
          <w:color w:val="auto"/>
        </w:rPr>
      </w:pPr>
    </w:p>
    <w:p>
      <w:pPr>
        <w:ind w:left="120"/>
        <w:spacing w:after="0"/>
        <w:tabs>
          <w:tab w:leader="none" w:pos="8380" w:val="left"/>
        </w:tabs>
        <w:rPr>
          <w:sz w:val="20"/>
          <w:szCs w:val="20"/>
          <w:color w:val="auto"/>
        </w:rPr>
      </w:pPr>
      <w:r>
        <w:rPr>
          <w:rFonts w:ascii="Arial" w:cs="Arial" w:eastAsia="Arial" w:hAnsi="Arial"/>
          <w:sz w:val="18"/>
          <w:szCs w:val="18"/>
          <w:color w:val="auto"/>
        </w:rPr>
        <w:t>The underwriters expect to deliver the shares against payment in New York, New York on or about</w:t>
      </w:r>
      <w:r>
        <w:rPr>
          <w:sz w:val="20"/>
          <w:szCs w:val="20"/>
          <w:color w:val="auto"/>
        </w:rPr>
        <w:tab/>
      </w:r>
      <w:r>
        <w:rPr>
          <w:rFonts w:ascii="Arial" w:cs="Arial" w:eastAsia="Arial" w:hAnsi="Arial"/>
          <w:sz w:val="16"/>
          <w:szCs w:val="16"/>
          <w:color w:val="auto"/>
        </w:rPr>
        <w:t>, 2021 through the book-entry</w:t>
      </w:r>
    </w:p>
    <w:p>
      <w:pPr>
        <w:ind w:left="120"/>
        <w:spacing w:after="0"/>
        <w:rPr>
          <w:sz w:val="20"/>
          <w:szCs w:val="20"/>
          <w:color w:val="auto"/>
        </w:rPr>
      </w:pPr>
      <w:r>
        <w:rPr>
          <w:rFonts w:ascii="Arial" w:cs="Arial" w:eastAsia="Arial" w:hAnsi="Arial"/>
          <w:sz w:val="18"/>
          <w:szCs w:val="18"/>
          <w:color w:val="auto"/>
        </w:rPr>
        <w:t>facilities of The Depository Trust Company.</w:t>
      </w:r>
    </w:p>
    <w:p>
      <w:pPr>
        <w:spacing w:after="0" w:line="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32" w:lineRule="exact"/>
        <w:rPr>
          <w:sz w:val="20"/>
          <w:szCs w:val="20"/>
          <w:color w:val="auto"/>
        </w:rPr>
      </w:pPr>
    </w:p>
    <w:p>
      <w:pPr>
        <w:ind w:left="120"/>
        <w:spacing w:after="0"/>
        <w:tabs>
          <w:tab w:leader="none" w:pos="1004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Citigroup</w:t>
      </w:r>
    </w:p>
    <w:p>
      <w:pPr>
        <w:sectPr>
          <w:pgSz w:w="11900" w:h="16838" w:orient="portrait"/>
          <w:cols w:equalWidth="0" w:num="1">
            <w:col w:w="11140"/>
          </w:cols>
          <w:pgMar w:left="320" w:top="459" w:right="439" w:bottom="812" w:gutter="0" w:footer="0" w:header="0"/>
        </w:sectPr>
      </w:pPr>
    </w:p>
    <w:p>
      <w:pPr>
        <w:spacing w:after="0" w:line="90" w:lineRule="exact"/>
        <w:rPr>
          <w:sz w:val="20"/>
          <w:szCs w:val="20"/>
          <w:color w:val="auto"/>
        </w:rPr>
      </w:pPr>
    </w:p>
    <w:p>
      <w:pPr>
        <w:ind w:left="120"/>
        <w:spacing w:after="0"/>
        <w:tabs>
          <w:tab w:leader="none" w:pos="322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2021</w:t>
      </w:r>
    </w:p>
    <w:p>
      <w:pPr>
        <w:sectPr>
          <w:pgSz w:w="11900" w:h="16838" w:orient="portrait"/>
          <w:cols w:equalWidth="0" w:num="1">
            <w:col w:w="11140"/>
          </w:cols>
          <w:pgMar w:left="320" w:top="459" w:right="439" w:bottom="812"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3079"/>
        <w:spacing w:after="0"/>
        <w:rPr>
          <w:sz w:val="20"/>
          <w:szCs w:val="20"/>
          <w:color w:val="auto"/>
        </w:rPr>
      </w:pPr>
      <w:r>
        <w:rPr>
          <w:rFonts w:ascii="Arial" w:cs="Arial" w:eastAsia="Arial" w:hAnsi="Arial"/>
          <w:sz w:val="18"/>
          <w:szCs w:val="18"/>
          <w:b w:val="1"/>
          <w:bCs w:val="1"/>
          <w:color w:val="auto"/>
        </w:rPr>
        <w:t>Confidential Treatment Requested by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114935</wp:posOffset>
            </wp:positionV>
            <wp:extent cx="5332095" cy="6943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32095" cy="69437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3079"/>
        <w:spacing w:after="0"/>
        <w:rPr>
          <w:sz w:val="20"/>
          <w:szCs w:val="20"/>
          <w:color w:val="auto"/>
        </w:rPr>
      </w:pPr>
      <w:r>
        <w:rPr>
          <w:rFonts w:ascii="Arial" w:cs="Arial" w:eastAsia="Arial" w:hAnsi="Arial"/>
          <w:sz w:val="18"/>
          <w:szCs w:val="18"/>
          <w:b w:val="1"/>
          <w:bCs w:val="1"/>
          <w:color w:val="auto"/>
        </w:rPr>
        <w:t>Confidential Treatment Requested by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114935</wp:posOffset>
            </wp:positionV>
            <wp:extent cx="5332095" cy="7106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32095" cy="710628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Table of Contents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40" w:type="dxa"/>
            <w:vAlign w:val="bottom"/>
            <w:shd w:val="clear" w:color="auto" w:fill="CCEEFF"/>
          </w:tcPr>
          <w:p>
            <w:pPr>
              <w:spacing w:after="0"/>
              <w:rPr>
                <w:sz w:val="17"/>
                <w:szCs w:val="17"/>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Page</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Prospectus summary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The offering</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Summary consolidated financial and operating data</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Cautionary note regarding forward-looking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Organizational structure</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Use of proceeds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Dividend policy</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Capitalization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Unaudited pro forma consolidated financial information</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Management’s discussion and analysis of financial condition and results of operations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Business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Management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Executive compensation</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r>
      <w:tr>
        <w:trPr>
          <w:trHeight w:val="281"/>
        </w:trPr>
        <w:tc>
          <w:tcPr>
            <w:tcW w:w="864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Certain relationships and related party transactions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Principal and selling stockholders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Description of certain indebtedness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Description of capital stock</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Shares eligible for future sale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Material U.S. federal income tax considerations for Non-U.S. Holders of common stock</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Underwriting</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Legal matters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r>
      <w:tr>
        <w:trPr>
          <w:trHeight w:val="282"/>
        </w:trPr>
        <w:tc>
          <w:tcPr>
            <w:tcW w:w="8640" w:type="dxa"/>
            <w:vAlign w:val="bottom"/>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Experts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56"/>
        </w:trPr>
        <w:tc>
          <w:tcPr>
            <w:tcW w:w="864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Where you can find more information</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r>
      <w:tr>
        <w:trPr>
          <w:trHeight w:val="281"/>
        </w:trPr>
        <w:tc>
          <w:tcPr>
            <w:tcW w:w="8640" w:type="dxa"/>
            <w:vAlign w:val="bottom"/>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Index to financial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51"/>
        </w:trPr>
        <w:tc>
          <w:tcPr>
            <w:tcW w:w="8640" w:type="dxa"/>
            <w:vAlign w:val="bottom"/>
          </w:tcPr>
          <w:p>
            <w:pPr>
              <w:ind w:left="5480"/>
              <w:spacing w:after="0"/>
              <w:rPr>
                <w:sz w:val="20"/>
                <w:szCs w:val="20"/>
                <w:color w:val="auto"/>
              </w:rPr>
            </w:pPr>
            <w:r>
              <w:rPr>
                <w:rFonts w:ascii="Arial" w:cs="Arial" w:eastAsia="Arial" w:hAnsi="Arial"/>
                <w:sz w:val="18"/>
                <w:szCs w:val="18"/>
                <w:color w:val="auto"/>
              </w:rPr>
              <w:t>i</w:t>
            </w:r>
          </w:p>
        </w:tc>
        <w:tc>
          <w:tcPr>
            <w:tcW w:w="23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About this prospectus</w:t>
      </w:r>
    </w:p>
    <w:p>
      <w:pPr>
        <w:spacing w:after="0" w:line="15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As used in this prospectus, unless the context otherwise indicates, any reference to “MediaAlpha,” “our Company,” the “Company,” “we,” “us,” and “our” refers to MediaAlpha, Inc., the issuer of the shares offered hereby, together with its consolidated subsidiaries. QL Holdings LLC is the predecessor to MediaAlpha.</w:t>
      </w:r>
    </w:p>
    <w:p>
      <w:pPr>
        <w:spacing w:after="0" w:line="7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b w:val="1"/>
          <w:bCs w:val="1"/>
          <w:color w:val="auto"/>
        </w:rPr>
        <w:t>We have not, and the selling stockholders and the underwriters have not, authorized anyone to provide any information or make any representations other than those contained in this prospectus or in any free writing prospectus that we file with the SEC. We, the selling stockholders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1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For investors outside of the United States: Neither we, the selling stockholders nor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Financial statements and basis of presentation</w:t>
      </w:r>
    </w:p>
    <w:p>
      <w:pPr>
        <w:spacing w:after="0" w:line="15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This prospectus includes audited consolidated balance sheets of QL Holdings LLC as of December 31, 2019 and December 31, 2018. This prospectus includes the audited balance sheet of Intermediate Holdco as of October 20, 2020. We do not include any other historical financial statements of Intermediate Holdco because, prior to that time, Intermediate Holdco disposed of significant assets and liabilities that will not be included in the Company. At the time Intermediate Holdco was contributed to the Company in the IPO reorganization (as defined below), its only assets were the Class A-1 units of QL Holdings LLC, certain tax attributes, and an indemnity from White Mountains with respect to any pre-IPO liabilities of Intermediate Holdco. This prospectus also includes the audited balance sheet of MediaAlpha, Inc. as of August 31, 2020, and statements of operations and of cash flows of MediaAlpha, Inc. for the period from its inception (July 9, 2020) to August 31, 2020. MediaAlpha, Inc. is a holding company and its sole material asset is all of the shares of its wholly owned subsidiary, Intermediate Holdco, which in turn owns all of the Class A-1 units of QL Holdings LLC. All of our business has historically been and will continue to be conducted through QL Holdings LLC, together with its subsidiaries. The financial results of Intermediate Holdco and QL Holdings LLC will be consolidated in the financial statements of MediaAlpha, Inc. for periods following the date of the IPO.</w:t>
      </w:r>
    </w:p>
    <w:p>
      <w:pPr>
        <w:spacing w:after="0" w:line="289"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this prospectus may not be arithmetic aggregations of the figures to which they relate as shown in this prospectus. Percentages included in this prospectus have also been subject to rounding adjustments.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Certain definitions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in this prospectus (excluding our consolidated financial statements beginning on page F-1):</w:t>
      </w:r>
    </w:p>
    <w:p>
      <w:pPr>
        <w:spacing w:after="0" w:line="117"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“CAGR” means compound annual growth rate.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 Referral” means any consumer click, call or lead purchased by a buyer on our platform.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“Consumers” and “customers” refer interchangeably to end consumers. Examples include individuals shopping for insurance policies.</w:t>
      </w:r>
    </w:p>
    <w:p>
      <w:pPr>
        <w:spacing w:after="0" w:line="117"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“Digital consumer traffic” refers to visitors to the mobile, tablet, desktop and other digital platforms of our supply partners, as well as to our proprietary websites.</w:t>
      </w:r>
    </w:p>
    <w:p>
      <w:pPr>
        <w:spacing w:after="0" w:line="114"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“Direct-to-consumer” or “DTC” means the sale of insurance products or services directly to end consumers, without the use of retailers, brokers, agents or other intermediaries.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“Distributor” means any company or individual that is involved in the distribution of insurance, such as an insurance agent or broker.</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“Exchange agreement” means the exchange agreement, dated as of October 27, 2020 by and among MediaAlpha, Inc., QL Holdings LLC, Guilford Holdings, Inc. and certain Class B-1 unitholders of QL Holdings LLC party thereto.</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“Founders” means, collectively, Steven Yi, Eugene Nonko, and Ambrose Wang.</w:t>
      </w:r>
    </w:p>
    <w:p>
      <w:pPr>
        <w:spacing w:after="0" w:line="117"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amended and restated limited liability company agreement of QL Holdings LLC” means the limited liability company agreement dated as of October 27, 2020.</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means U.S. generally accepted accounting principles.</w:t>
      </w:r>
    </w:p>
    <w:p>
      <w:pPr>
        <w:spacing w:after="0" w:line="117" w:lineRule="exact"/>
        <w:rPr>
          <w:rFonts w:ascii="Arial" w:cs="Arial" w:eastAsia="Arial" w:hAnsi="Arial"/>
          <w:sz w:val="18"/>
          <w:szCs w:val="18"/>
          <w:color w:val="auto"/>
        </w:rPr>
      </w:pPr>
    </w:p>
    <w:p>
      <w:pPr>
        <w:ind w:left="340" w:right="640" w:hanging="224"/>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“High-intent” consumer or customer means an in-market consumer that is actively browsing, researching or comparing the types of products or services that our partners sell.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“IPO” means our initial public offering of our Class A common stock on October 30, 2020.</w:t>
      </w:r>
    </w:p>
    <w:p>
      <w:pPr>
        <w:spacing w:after="0" w:line="117" w:lineRule="exact"/>
        <w:rPr>
          <w:rFonts w:ascii="Arial" w:cs="Arial" w:eastAsia="Arial" w:hAnsi="Arial"/>
          <w:sz w:val="18"/>
          <w:szCs w:val="18"/>
          <w:color w:val="auto"/>
        </w:rPr>
      </w:pPr>
    </w:p>
    <w:p>
      <w:pPr>
        <w:ind w:left="340" w:right="140" w:hanging="224"/>
        <w:spacing w:after="0" w:line="23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“IPO reorganization” means the series of reorganization transactions completed on October 27, 2020 in connection with our IPO, as described under “Organizational structure—Fourth amended and restated limited liability company agreement of QL Holdings LLC” in our registration statement on Form S-1 (File No. 333-249326), which was declared effective by the SEC on October 27, 2020.</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“Insignia” means Insignia Capital Group, L.P. and its affiliates.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“InsurTech” means insurance technology.</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“Intermediate Holdco” means Guilford Holdings, Inc., our wholly owned subsidiary and the owner of all Class A-1 units of QL Holdings LLC, after giving effect to the IPO reorganization.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“Inventory,” when referring to our supply partners, means the volume of Consumer Referral opportunities.</w:t>
      </w:r>
    </w:p>
    <w:p>
      <w:pPr>
        <w:spacing w:after="0" w:line="117" w:lineRule="exact"/>
        <w:rPr>
          <w:rFonts w:ascii="Arial" w:cs="Arial" w:eastAsia="Arial" w:hAnsi="Arial"/>
          <w:sz w:val="18"/>
          <w:szCs w:val="18"/>
          <w:color w:val="auto"/>
        </w:rPr>
      </w:pPr>
    </w:p>
    <w:p>
      <w:pPr>
        <w:jc w:val="both"/>
        <w:ind w:left="340" w:right="120" w:hanging="224"/>
        <w:spacing w:after="0" w:line="23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Profits Interest Holders” means certain current or former employees of QL Holdings LLC or its subsidiaries (other than the Senior Executives), who indirectly held Class B units in QL Holdings LLC prior to giving effect to the IPO reorganization, and includes any estate planning vehicles or other holding companies through which such persons hold their shares of our Class A common stock.</w:t>
      </w:r>
    </w:p>
    <w:p>
      <w:pPr>
        <w:spacing w:after="0" w:line="113"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“Lifetime value” or “LTV” is a type of metric that many of our business partners use to measure the estimated total worth to a business of a customer over the expected period of their relationship.</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“NAIC” means the National Association of Insurance Commissioners.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440" w:hanging="224"/>
        <w:spacing w:after="0" w:line="23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 platform” refers to one of our two business models. In open platform transactions, we have separate agreements with demand partners and suppliers. We earn fees from our demand partners and separately pay a revenue share to suppliers and a fee to Internet search companies to drive consumers to our proprietary websites.</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 refers to a buyer or seller on our platform, also referred to as “demand partners” and “supply partners,” respectively.</w:t>
      </w:r>
    </w:p>
    <w:p>
      <w:pPr>
        <w:spacing w:after="0" w:line="117" w:lineRule="exact"/>
        <w:rPr>
          <w:rFonts w:ascii="Arial" w:cs="Arial" w:eastAsia="Arial" w:hAnsi="Arial"/>
          <w:sz w:val="18"/>
          <w:szCs w:val="18"/>
          <w:color w:val="auto"/>
        </w:rPr>
      </w:pPr>
    </w:p>
    <w:p>
      <w:pPr>
        <w:ind w:left="980" w:right="260" w:hanging="432"/>
        <w:spacing w:after="0" w:line="299"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“Demand partner” refers to a buyer on our platform. As discussed under “Business—Our target audience,” our demand partners are generally insurance carriers and distributors looking to target high-intent consumers deep in their purchase journey.</w:t>
      </w:r>
    </w:p>
    <w:p>
      <w:pPr>
        <w:spacing w:after="0" w:line="68" w:lineRule="exact"/>
        <w:rPr>
          <w:rFonts w:ascii="Arial" w:cs="Arial" w:eastAsia="Arial" w:hAnsi="Arial"/>
          <w:sz w:val="16"/>
          <w:szCs w:val="16"/>
          <w:color w:val="auto"/>
        </w:rPr>
      </w:pPr>
    </w:p>
    <w:p>
      <w:pPr>
        <w:jc w:val="both"/>
        <w:ind w:left="980" w:right="260" w:hanging="432"/>
        <w:spacing w:after="0" w:line="23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“Supply partner” or “supplier” refers to a seller to our platform. As discussed under “Business—Our target audience,” our supply partners are primarily insurance carriers looking to maximize the value of non-converting or low LTV consumers, and insurance-focused research destinations looking to monetize high-intent consumers.</w:t>
      </w:r>
    </w:p>
    <w:p>
      <w:pPr>
        <w:spacing w:after="0" w:line="113" w:lineRule="exact"/>
        <w:rPr>
          <w:rFonts w:ascii="Arial" w:cs="Arial" w:eastAsia="Arial" w:hAnsi="Arial"/>
          <w:sz w:val="18"/>
          <w:szCs w:val="18"/>
          <w:color w:val="auto"/>
        </w:rPr>
      </w:pPr>
    </w:p>
    <w:p>
      <w:pPr>
        <w:ind w:left="340" w:right="200" w:hanging="224"/>
        <w:spacing w:after="0" w:line="23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platform” refers to one of our two business models. In private platform transactions, demand partners and suppliers contract with one another directly and leverage our platform to facilitate transparent, real-time transactions utilizing the reporting and analytical tools available to them through our platform. We charge a fee based on the Transaction Value of the Consumer Referrals sold through private platform transactions.</w:t>
      </w:r>
    </w:p>
    <w:p>
      <w:pPr>
        <w:spacing w:after="0" w:line="113"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means, when used in reference to our properties, the websites and other digital properties that we own and operate. Our proprietary properties are a source of Consumer Referrals on our platform.</w:t>
      </w:r>
    </w:p>
    <w:p>
      <w:pPr>
        <w:spacing w:after="0" w:line="114" w:lineRule="exact"/>
        <w:rPr>
          <w:rFonts w:ascii="Arial" w:cs="Arial" w:eastAsia="Arial" w:hAnsi="Arial"/>
          <w:sz w:val="18"/>
          <w:szCs w:val="18"/>
          <w:color w:val="auto"/>
        </w:rPr>
      </w:pPr>
    </w:p>
    <w:p>
      <w:pPr>
        <w:ind w:left="340" w:right="640" w:hanging="224"/>
        <w:spacing w:after="0" w:line="23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“QL Holdings LLC” is a limited liability company which, together with its subsidiaries, has historically conducted, and will continue to conduct, our business.</w:t>
      </w:r>
    </w:p>
    <w:p>
      <w:pPr>
        <w:spacing w:after="0" w:line="114" w:lineRule="exact"/>
        <w:rPr>
          <w:rFonts w:ascii="Arial" w:cs="Arial" w:eastAsia="Arial" w:hAnsi="Arial"/>
          <w:sz w:val="18"/>
          <w:szCs w:val="18"/>
          <w:color w:val="auto"/>
        </w:rPr>
      </w:pPr>
    </w:p>
    <w:p>
      <w:pPr>
        <w:ind w:left="340" w:right="240" w:hanging="224"/>
        <w:spacing w:after="0" w:line="23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rights agreement” means the registration rights agreement dated as of October 27, 2020, by and among MediaAlpha, Inc., White Mountains Investments (Luxembourg) S.à r.l., Insignia QL Holdings, LLC, Insignia A QL Holdings, LLC, Steven Yi, Eugene Nonko, Ambrose Wang and certain other parties thereto.</w:t>
      </w:r>
    </w:p>
    <w:p>
      <w:pPr>
        <w:spacing w:after="0" w:line="113" w:lineRule="exact"/>
        <w:rPr>
          <w:rFonts w:ascii="Arial" w:cs="Arial" w:eastAsia="Arial" w:hAnsi="Arial"/>
          <w:sz w:val="18"/>
          <w:szCs w:val="18"/>
          <w:color w:val="auto"/>
        </w:rPr>
      </w:pPr>
    </w:p>
    <w:p>
      <w:pPr>
        <w:ind w:left="340" w:right="140" w:hanging="224"/>
        <w:spacing w:after="0" w:line="23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“Reorganization agreement” means the reorganization agreement dated as of October 27, 2020, by and among MediaAlpha, Inc., QL Holdings LLC, QuoteLab, LLC, Guilford Holdings, Inc., White Mountains Investments (Luxembourg) S.à r.l., White Mountains Insurance Group, Ltd., Insignia QL Holdings, LLC, Insignia A QL Holdings, LLC, Steven Yi, Eugene Nonko, Ambrose Wang and certain other parties thereto.</w:t>
      </w:r>
    </w:p>
    <w:p>
      <w:pPr>
        <w:spacing w:after="0" w:line="113" w:lineRule="exact"/>
        <w:rPr>
          <w:rFonts w:ascii="Arial" w:cs="Arial" w:eastAsia="Arial" w:hAnsi="Arial"/>
          <w:sz w:val="18"/>
          <w:szCs w:val="18"/>
          <w:color w:val="auto"/>
        </w:rPr>
      </w:pPr>
    </w:p>
    <w:p>
      <w:pPr>
        <w:ind w:left="340" w:right="100" w:hanging="224"/>
        <w:spacing w:after="0" w:line="23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“Senior Executives” means the Founders and the following officers at the Company that held Class B units in QL Holdings LLC prior to our IPO: Keith Cramer, Tigran Sinanyan, Lance Martinez, Brian Mikalis, Robert Perine, Jeff Sweetser, Serge Topjian, and Amy Yeh. This term also includes any estate planning vehicles or other holding companies through which such persons hold their units in QL Holdings LLC (which holding companies may or may not include QL Management Holdings LLC).</w:t>
      </w:r>
    </w:p>
    <w:p>
      <w:pPr>
        <w:spacing w:after="0" w:line="113" w:lineRule="exact"/>
        <w:rPr>
          <w:rFonts w:ascii="Arial" w:cs="Arial" w:eastAsia="Arial" w:hAnsi="Arial"/>
          <w:sz w:val="18"/>
          <w:szCs w:val="18"/>
          <w:color w:val="auto"/>
        </w:rPr>
      </w:pPr>
    </w:p>
    <w:p>
      <w:pPr>
        <w:ind w:left="340" w:right="380" w:hanging="224"/>
        <w:spacing w:after="0" w:line="23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Class B-1 Unit Holders” means Insignia, the Senior Executives, and the Legacy Profits Interests Holders, who sold a portion of their Class B-1 units to Intermediate Holdco in connection with the IPO.</w:t>
      </w:r>
    </w:p>
    <w:p>
      <w:pPr>
        <w:spacing w:after="0" w:line="114" w:lineRule="exact"/>
        <w:rPr>
          <w:rFonts w:ascii="Arial" w:cs="Arial" w:eastAsia="Arial" w:hAnsi="Arial"/>
          <w:sz w:val="18"/>
          <w:szCs w:val="18"/>
          <w:color w:val="auto"/>
        </w:rPr>
      </w:pPr>
    </w:p>
    <w:p>
      <w:pPr>
        <w:ind w:left="340" w:hanging="224"/>
        <w:spacing w:after="0" w:line="23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“Stockholders’ agreement” means the stockholders agreement, dated as of October 27, 2020, as amended, modified or supplemented from time to time, by and among MediaAlpha, Inc., White Mountains Investments (Luxembourg) S.à r.l., Insignia QL Holdings, LLC, Insignia A QL Holdings, LLC, Bridge Holdings (Bermuda) Ltd. and Steven Yi, Eugene Nonko and Ambrose Wang, together with their respective holding entities through which they indirectly hold common stock of MediaAlpha, Inc.</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80" w:hanging="224"/>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 Value” means the total gross dollars transacted by our partners on our platform. See “Management’s discussion and analysis of financial condition and results of operations—Key business and operating metrics.”</w:t>
      </w:r>
    </w:p>
    <w:p>
      <w:pPr>
        <w:spacing w:after="0" w:line="114"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“Vertical” means a market dedicated to a specific set of products or services sold to end consumers. Examples include property &amp; casualty insurance, life insurance, health insurance, and travel.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“White Mountains” means White Mountains Insurance Group, Ltd. and its affiliates.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“Yield” means the return to our sellers on their inventory of Consumer Referrals sold on our platform.</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Industry and other data</w:t>
      </w:r>
    </w:p>
    <w:p>
      <w:pPr>
        <w:spacing w:after="0" w:line="15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Third-party surveys and industry publications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or any other matters that were used in preparing the forecasts from the sources relied upon or cited herein, and you are cautioned not to give undue weight to such estimates. The industry in which we operate is subject to a high degree of uncertainty and risk due to a variety of factors, including those described in the sections titled “Risk factors” and “Cautionary note regarding forward-looking statements.” These and other factors could cause results to differ materially from those expressed in the estimates made by the independent parties and by 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Trademarks, service marks and trade names</w:t>
      </w:r>
    </w:p>
    <w:p>
      <w:pPr>
        <w:spacing w:after="0" w:line="157"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 xml:space="preserve">This prospectus includes certain trademarks and trade names, such as “MediaAlpha,” our logo, and other trademarks or trade names of the Company, which are protected under applicable intellectual property laws and are our property. This prospectus also contains trademarks, service marks, and trade names of other companies, which are the property of their respective owners. Solely for convenience, trademarks, service marks, and trade names referred to in this prospectus may appear without the </w:t>
      </w:r>
      <w:r>
        <w:rPr>
          <w:rFonts w:ascii="Arial" w:cs="Arial" w:eastAsia="Arial" w:hAnsi="Arial"/>
          <w:sz w:val="11"/>
          <w:szCs w:val="11"/>
          <w:color w:val="auto"/>
        </w:rPr>
        <w:t>®</w:t>
      </w:r>
      <w:r>
        <w:rPr>
          <w:rFonts w:ascii="Arial" w:cs="Arial" w:eastAsia="Arial" w:hAnsi="Arial"/>
          <w:sz w:val="18"/>
          <w:szCs w:val="18"/>
          <w:color w:val="auto"/>
        </w:rPr>
        <w:t xml:space="preserve">, </w:t>
      </w:r>
      <w:r>
        <w:rPr>
          <w:rFonts w:ascii="Arial" w:cs="Arial" w:eastAsia="Arial" w:hAnsi="Arial"/>
          <w:sz w:val="11"/>
          <w:szCs w:val="11"/>
          <w:color w:val="auto"/>
        </w:rPr>
        <w:t>SM</w:t>
      </w:r>
      <w:r>
        <w:rPr>
          <w:rFonts w:ascii="Arial" w:cs="Arial" w:eastAsia="Arial" w:hAnsi="Arial"/>
          <w:sz w:val="18"/>
          <w:szCs w:val="18"/>
          <w:color w:val="auto"/>
        </w:rPr>
        <w:t xml:space="preserve"> or </w:t>
      </w:r>
      <w:r>
        <w:rPr>
          <w:rFonts w:ascii="Arial" w:cs="Arial" w:eastAsia="Arial" w:hAnsi="Arial"/>
          <w:sz w:val="11"/>
          <w:szCs w:val="11"/>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auto"/>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-229235</wp:posOffset>
            </wp:positionV>
            <wp:extent cx="6998970" cy="5773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119" w:lineRule="exact"/>
        <w:rPr>
          <w:sz w:val="20"/>
          <w:szCs w:val="20"/>
          <w:color w:val="auto"/>
        </w:rPr>
      </w:pPr>
    </w:p>
    <w:p>
      <w:pPr>
        <w:ind w:left="140"/>
        <w:spacing w:after="0" w:line="238" w:lineRule="auto"/>
        <w:rPr>
          <w:sz w:val="20"/>
          <w:szCs w:val="20"/>
          <w:color w:val="auto"/>
        </w:rPr>
      </w:pPr>
      <w:r>
        <w:rPr>
          <w:rFonts w:ascii="Arial" w:cs="Arial" w:eastAsia="Arial" w:hAnsi="Arial"/>
          <w:sz w:val="18"/>
          <w:szCs w:val="18"/>
          <w:i w:val="1"/>
          <w:iCs w:val="1"/>
          <w:color w:val="auto"/>
        </w:rPr>
        <w:t>This summary highlights information appearing elsewhere in this prospectus. This summary does not contain all of the information you should consider before investing in our Class A common stock. You should read this entire prospectus carefully, including the sections titled “Risk factors,” “Unaudited pro forma consolidated financial information,” and “Management’s discussion and analysis of financial condition and results of operations” and the consolidated financial statements and related notes appearing at the end of this prospectus, before making any investment decision. In this prospectus, we make certain forward-looking statements, including expectations relating to our future performance. These expectations reflect our management’s view of our prospects and are subject to the risks described under “Risk factors” and “Cautionary note regarding forward-looking statements.” Our expectations for our future performance may change after the date of this prospectus and there is no guarantee that such expectations will prove to be accurate.</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Our company</w:t>
      </w:r>
    </w:p>
    <w:p>
      <w:pPr>
        <w:spacing w:after="0" w:line="134" w:lineRule="exact"/>
        <w:rPr>
          <w:sz w:val="20"/>
          <w:szCs w:val="20"/>
          <w:color w:val="auto"/>
        </w:rPr>
      </w:pPr>
    </w:p>
    <w:p>
      <w:pPr>
        <w:ind w:left="140" w:right="40"/>
        <w:spacing w:after="0" w:line="236" w:lineRule="auto"/>
        <w:rPr>
          <w:sz w:val="20"/>
          <w:szCs w:val="20"/>
          <w:color w:val="auto"/>
        </w:rPr>
      </w:pPr>
      <w:r>
        <w:rPr>
          <w:rFonts w:ascii="Arial" w:cs="Arial" w:eastAsia="Arial" w:hAnsi="Arial"/>
          <w:sz w:val="18"/>
          <w:szCs w:val="18"/>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$1.4 billion in Transaction Value across our platform over the last two years.</w:t>
      </w:r>
    </w:p>
    <w:p>
      <w:pPr>
        <w:spacing w:after="0" w:line="103" w:lineRule="exact"/>
        <w:rPr>
          <w:sz w:val="20"/>
          <w:szCs w:val="20"/>
          <w:color w:val="auto"/>
        </w:rPr>
      </w:pPr>
    </w:p>
    <w:p>
      <w:pPr>
        <w:ind w:left="140" w:right="140"/>
        <w:spacing w:after="0" w:line="275" w:lineRule="auto"/>
        <w:rPr>
          <w:sz w:val="20"/>
          <w:szCs w:val="20"/>
          <w:color w:val="auto"/>
        </w:rPr>
      </w:pPr>
      <w:r>
        <w:rPr>
          <w:rFonts w:ascii="Arial" w:cs="Arial" w:eastAsia="Arial" w:hAnsi="Arial"/>
          <w:sz w:val="16"/>
          <w:szCs w:val="16"/>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60" w:right="60"/>
        <w:spacing w:after="0" w:line="230" w:lineRule="auto"/>
        <w:rPr>
          <w:sz w:val="20"/>
          <w:szCs w:val="20"/>
          <w:color w:val="auto"/>
        </w:rPr>
      </w:pPr>
      <w:r>
        <w:rPr>
          <w:rFonts w:ascii="Arial" w:cs="Arial" w:eastAsia="Arial" w:hAnsi="Arial"/>
          <w:sz w:val="11"/>
          <w:szCs w:val="11"/>
          <w:color w:val="FFFFFF"/>
        </w:rPr>
        <w:t>CARRIERS CUSTOMER ACQUISITION JOURNEY DTC Budget Channel Targeting Execution Conversion Traditional Insurance DTC Model Limited targeting attributes 35+ targeting attributes Blind bidding Transparent bidding Low conversion &amp; ROI High conversion &amp; ROI Type of policy Zip code Type of policy Zip code Income Age Gender Risk score Source of traffic Marital Status LTV? CAC? LTV &gt; CAC LTV &lt; CAC Home Owner</w:t>
      </w:r>
    </w:p>
    <w:p>
      <w:pPr>
        <w:spacing w:after="0" w:line="72" w:lineRule="exact"/>
        <w:rPr>
          <w:sz w:val="20"/>
          <w:szCs w:val="20"/>
          <w:color w:val="auto"/>
        </w:rPr>
      </w:pPr>
    </w:p>
    <w:p>
      <w:pPr>
        <w:jc w:val="both"/>
        <w:ind w:left="140" w:right="340"/>
        <w:spacing w:after="0" w:line="238" w:lineRule="auto"/>
        <w:rPr>
          <w:sz w:val="20"/>
          <w:szCs w:val="20"/>
          <w:color w:val="auto"/>
        </w:rPr>
      </w:pPr>
      <w:r>
        <w:rPr>
          <w:rFonts w:ascii="Arial" w:cs="Arial" w:eastAsia="Arial" w:hAnsi="Arial"/>
          <w:sz w:val="18"/>
          <w:szCs w:val="18"/>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5687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151" w:lineRule="exact"/>
        <w:rPr>
          <w:sz w:val="20"/>
          <w:szCs w:val="20"/>
          <w:color w:val="auto"/>
        </w:rPr>
      </w:pPr>
    </w:p>
    <w:p>
      <w:pPr>
        <w:ind w:left="140" w:right="240"/>
        <w:spacing w:after="0" w:line="236" w:lineRule="auto"/>
        <w:rPr>
          <w:sz w:val="20"/>
          <w:szCs w:val="20"/>
          <w:color w:val="auto"/>
        </w:rPr>
      </w:pPr>
      <w:r>
        <w:rPr>
          <w:rFonts w:ascii="Arial" w:cs="Arial" w:eastAsia="Arial" w:hAnsi="Arial"/>
          <w:sz w:val="18"/>
          <w:szCs w:val="18"/>
          <w:color w:val="auto"/>
        </w:rPr>
        <w:t>of non-converting or low LTV consumers, or an insurance-focused research destination looking to monetize the high-intent insurance shoppers on their websites. Our model’s versatility allows for the same insurance carrier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FFFFFF"/>
        </w:rPr>
        <w:t>Seller POWERED BY Carrier uses MediaAlpha platform to assist consumers unlikely to convert</w:t>
      </w:r>
      <w:r>
        <w:rPr>
          <w:rFonts w:ascii="Arial" w:cs="Arial" w:eastAsia="Arial" w:hAnsi="Arial"/>
          <w:sz w:val="26"/>
          <w:szCs w:val="26"/>
          <w:color w:val="FFFFFF"/>
          <w:vertAlign w:val="superscript"/>
        </w:rPr>
        <w:t>revenue</w:t>
      </w:r>
      <w:r>
        <w:rPr>
          <w:rFonts w:ascii="Arial" w:cs="Arial" w:eastAsia="Arial" w:hAnsi="Arial"/>
          <w:sz w:val="13"/>
          <w:szCs w:val="13"/>
          <w:color w:val="FFFFFF"/>
        </w:rPr>
        <w:t>MdiaAlpha algorithms optimize choice and display of options High-intent consumers</w:t>
      </w:r>
    </w:p>
    <w:p>
      <w:pPr>
        <w:jc w:val="center"/>
        <w:ind w:left="460" w:right="180"/>
        <w:spacing w:after="0"/>
        <w:rPr>
          <w:sz w:val="20"/>
          <w:szCs w:val="20"/>
          <w:color w:val="auto"/>
        </w:rPr>
      </w:pPr>
      <w:r>
        <w:rPr>
          <w:rFonts w:ascii="Arial" w:cs="Arial" w:eastAsia="Arial" w:hAnsi="Arial"/>
          <w:sz w:val="9"/>
          <w:szCs w:val="9"/>
          <w:color w:val="FFFFFF"/>
        </w:rPr>
        <w:t>shopping online MediaAlpha platform conducts real-time auction MediaAlpha generates        when consumers select alternative carriers Maximizes value of non-converting consumer Supply Partner Seller Demand Partner Opportunity to acquire high-intent, target customers Yield optimization Lifetime Value + Conversion probability Real time auction Google Good Partners Your Quote $150 Car insurance Choice Fair Weather Safe Driver Get Quote Get Quote Get Quote Compare Rates Below</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 the year ended December 31, 2020, we had 15 of the top 20 largest auto insurance carriers by customer acquisition spend as demand</w:t>
      </w:r>
    </w:p>
    <w:p>
      <w:pPr>
        <w:spacing w:after="0" w:line="19" w:lineRule="exact"/>
        <w:rPr>
          <w:sz w:val="20"/>
          <w:szCs w:val="20"/>
          <w:color w:val="auto"/>
        </w:rPr>
      </w:pPr>
    </w:p>
    <w:p>
      <w:pPr>
        <w:ind w:left="140" w:right="60"/>
        <w:spacing w:after="0" w:line="237" w:lineRule="auto"/>
        <w:rPr>
          <w:sz w:val="20"/>
          <w:szCs w:val="20"/>
          <w:color w:val="auto"/>
        </w:rPr>
      </w:pPr>
      <w:r>
        <w:rPr>
          <w:rFonts w:ascii="Arial" w:cs="Arial" w:eastAsia="Arial" w:hAnsi="Arial"/>
          <w:sz w:val="18"/>
          <w:szCs w:val="18"/>
          <w:color w:val="auto"/>
        </w:rPr>
        <w:t>partners on our platform, accounting for % of our revenue. Of these demand partners, 67% were also supply partners in our ecosystem. On a monthly basis, an average of 31.2 million consumers shop for insurance products through the websites of our diversified group of supply partners and our proprietary websites, driving an average of over 6.6 million Consumer Referrals on our platform for the year ended December 31, 2020.</w:t>
      </w:r>
    </w:p>
    <w:p>
      <w:pPr>
        <w:spacing w:after="0" w:line="100" w:lineRule="exact"/>
        <w:rPr>
          <w:sz w:val="20"/>
          <w:szCs w:val="20"/>
          <w:color w:val="auto"/>
        </w:rPr>
      </w:pPr>
    </w:p>
    <w:p>
      <w:pPr>
        <w:ind w:left="140"/>
        <w:spacing w:after="0" w:line="236" w:lineRule="auto"/>
        <w:rPr>
          <w:sz w:val="20"/>
          <w:szCs w:val="20"/>
          <w:color w:val="auto"/>
        </w:rPr>
      </w:pPr>
      <w:r>
        <w:rPr>
          <w:rFonts w:ascii="Arial" w:cs="Arial" w:eastAsia="Arial" w:hAnsi="Arial"/>
          <w:sz w:val="18"/>
          <w:szCs w:val="18"/>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over 35 separate consumer attributes to manage customized acquisition strategies. We enable our insurance partners to target consumers based on a precise calculation of the expected lifetime value to that partner and to make real-time, automated customer acquisition decisions through a combination of granular price management tools and robust predictive analytics capabilities.</w:t>
      </w:r>
    </w:p>
    <w:p>
      <w:pPr>
        <w:spacing w:after="0" w:line="102" w:lineRule="exact"/>
        <w:rPr>
          <w:sz w:val="20"/>
          <w:szCs w:val="20"/>
          <w:color w:val="auto"/>
        </w:rPr>
      </w:pPr>
    </w:p>
    <w:p>
      <w:pPr>
        <w:ind w:left="140" w:right="160"/>
        <w:spacing w:after="0" w:line="239" w:lineRule="auto"/>
        <w:rPr>
          <w:sz w:val="20"/>
          <w:szCs w:val="20"/>
          <w:color w:val="auto"/>
        </w:rPr>
      </w:pPr>
      <w:r>
        <w:rPr>
          <w:rFonts w:ascii="Arial" w:cs="Arial" w:eastAsia="Arial" w:hAnsi="Arial"/>
          <w:sz w:val="18"/>
          <w:szCs w:val="18"/>
          <w:color w:val="auto"/>
        </w:rPr>
        <w:t>We built our business model to align the interests of all parties participating on our platform. We generate revenue by earning a fee for each Consumer Referral sold on our platform. Our revenue is not contingent on the sale of an insurance product to the consumer.</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5293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293360"/>
                    </a:xfrm>
                    <a:prstGeom prst="rect">
                      <a:avLst/>
                    </a:prstGeom>
                    <a:noFill/>
                  </pic:spPr>
                </pic:pic>
              </a:graphicData>
            </a:graphic>
          </wp:anchor>
        </w:drawing>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have a track record of delivering rapid and profitable growth, enabled by our unique business model and technology platform. For the</w:t>
      </w:r>
    </w:p>
    <w:p>
      <w:pPr>
        <w:spacing w:after="0" w:line="19" w:lineRule="exact"/>
        <w:rPr>
          <w:sz w:val="20"/>
          <w:szCs w:val="20"/>
          <w:color w:val="auto"/>
        </w:rPr>
      </w:pPr>
    </w:p>
    <w:p>
      <w:pPr>
        <w:ind w:left="140" w:right="40"/>
        <w:spacing w:after="0" w:line="234" w:lineRule="auto"/>
        <w:rPr>
          <w:sz w:val="20"/>
          <w:szCs w:val="20"/>
          <w:color w:val="auto"/>
        </w:rPr>
      </w:pPr>
      <w:r>
        <w:rPr>
          <w:rFonts w:ascii="Arial" w:cs="Arial" w:eastAsia="Arial" w:hAnsi="Arial"/>
          <w:sz w:val="18"/>
          <w:szCs w:val="18"/>
          <w:color w:val="auto"/>
        </w:rPr>
        <w:t>year ended December 31, 2020, we generated $ million of revenue, representing a % increase over the $408.0 million of revenue that we generated for the year ended December 31, 2019. This translated to net income of $ million for the year ended December 31, 2020, a decrease of % over the $17.8 million of net income we generated for the year ended December 31, 2019. We also generated $ million of Adjusted EBITDA for the year ended December 31, 2020, representing a % increase over the</w:t>
      </w:r>
    </w:p>
    <w:p>
      <w:pPr>
        <w:spacing w:after="0" w:line="3" w:lineRule="exact"/>
        <w:rPr>
          <w:sz w:val="20"/>
          <w:szCs w:val="20"/>
          <w:color w:val="auto"/>
        </w:rPr>
      </w:pPr>
    </w:p>
    <w:p>
      <w:pPr>
        <w:ind w:left="140" w:right="500"/>
        <w:spacing w:after="0" w:line="215" w:lineRule="auto"/>
        <w:rPr>
          <w:sz w:val="20"/>
          <w:szCs w:val="20"/>
          <w:color w:val="auto"/>
        </w:rPr>
      </w:pPr>
      <w:r>
        <w:rPr>
          <w:rFonts w:ascii="Arial" w:cs="Arial" w:eastAsia="Arial" w:hAnsi="Arial"/>
          <w:sz w:val="18"/>
          <w:szCs w:val="18"/>
          <w:color w:val="auto"/>
        </w:rPr>
        <w:t>$42.9 million of Adjusted EBITDA generated for the year ended December 31, 2019.</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See “Management’s discussion and analysis of financial condition and results of operations” for more information.</w:t>
      </w:r>
    </w:p>
    <w:p>
      <w:pPr>
        <w:spacing w:after="0" w:line="101" w:lineRule="exact"/>
        <w:rPr>
          <w:sz w:val="20"/>
          <w:szCs w:val="20"/>
          <w:color w:val="auto"/>
        </w:rPr>
      </w:pPr>
    </w:p>
    <w:p>
      <w:pPr>
        <w:jc w:val="both"/>
        <w:ind w:left="140" w:right="60"/>
        <w:spacing w:after="0" w:line="264" w:lineRule="auto"/>
        <w:rPr>
          <w:sz w:val="20"/>
          <w:szCs w:val="20"/>
          <w:color w:val="auto"/>
        </w:rPr>
      </w:pPr>
      <w:r>
        <w:rPr>
          <w:rFonts w:ascii="Arial" w:cs="Arial" w:eastAsia="Arial" w:hAnsi="Arial"/>
          <w:sz w:val="16"/>
          <w:szCs w:val="16"/>
          <w:color w:val="auto"/>
        </w:rPr>
        <w:t>We designed our business model to be capital efficient, with high operating leverage and cash flow conversion. Since inception and prior to our IPO, we have funded our growth through internally generated cash flow with no outside primary capital. Our strong cash flow generation is driven by (i) the nature of our revenue model, which is fee based and generated at the time a Consumer Referral is sold, and (ii) our</w:t>
      </w:r>
    </w:p>
    <w:p>
      <w:pPr>
        <w:ind w:left="140"/>
        <w:spacing w:after="0" w:line="239" w:lineRule="auto"/>
        <w:rPr>
          <w:sz w:val="20"/>
          <w:szCs w:val="20"/>
          <w:color w:val="auto"/>
        </w:rPr>
      </w:pPr>
      <w:r>
        <w:rPr>
          <w:rFonts w:ascii="Arial" w:cs="Arial" w:eastAsia="Arial" w:hAnsi="Arial"/>
          <w:sz w:val="18"/>
          <w:szCs w:val="18"/>
          <w:color w:val="auto"/>
        </w:rPr>
        <w:t>proprietary technology platform, which is highly scalable and requires minimal capital expenditure requirements ($ million for the year ended December 31, 2020 and $0.1 million for the year ended December 31, 2019).</w:t>
      </w:r>
    </w:p>
    <w:p>
      <w:pPr>
        <w:spacing w:after="0" w:line="101" w:lineRule="exact"/>
        <w:rPr>
          <w:sz w:val="20"/>
          <w:szCs w:val="20"/>
          <w:color w:val="auto"/>
        </w:rPr>
      </w:pPr>
    </w:p>
    <w:p>
      <w:pPr>
        <w:ind w:left="140" w:right="180"/>
        <w:spacing w:after="0" w:line="234" w:lineRule="auto"/>
        <w:rPr>
          <w:sz w:val="20"/>
          <w:szCs w:val="20"/>
          <w:color w:val="auto"/>
        </w:rPr>
      </w:pPr>
      <w:r>
        <w:rPr>
          <w:rFonts w:ascii="Arial" w:cs="Arial" w:eastAsia="Arial" w:hAnsi="Arial"/>
          <w:sz w:val="18"/>
          <w:szCs w:val="18"/>
          <w:color w:val="auto"/>
        </w:rPr>
        <w:t>The foundation of our success is our company culture. Personal development is critical to our team’s engagement and retention, and we continually invest to support our core values of open-mindedness, intellectual curiosity, candor, and humility. This has resulted in a growth-minded team, with exceptionally low turnover, committed to building great products and the long-term success of our partners.</w:t>
      </w:r>
    </w:p>
    <w:p>
      <w:pPr>
        <w:spacing w:after="0" w:line="2" w:lineRule="exact"/>
        <w:rPr>
          <w:sz w:val="20"/>
          <w:szCs w:val="20"/>
          <w:color w:val="auto"/>
        </w:rPr>
      </w:pPr>
    </w:p>
    <w:p>
      <w:pPr>
        <w:ind w:left="140" w:right="140"/>
        <w:spacing w:after="0" w:line="237" w:lineRule="auto"/>
        <w:rPr>
          <w:sz w:val="20"/>
          <w:szCs w:val="20"/>
          <w:color w:val="auto"/>
        </w:rPr>
      </w:pPr>
      <w:r>
        <w:rPr>
          <w:rFonts w:ascii="Arial" w:cs="Arial" w:eastAsia="Arial" w:hAnsi="Arial"/>
          <w:sz w:val="18"/>
          <w:szCs w:val="18"/>
          <w:color w:val="auto"/>
        </w:rPr>
        <w:t>We are poised to capitalize on the expected growth in our core insurance verticals and the continued shift in these markets to direct, digital distribution. We aim to drive deeper adoption and integration of our platform within the insurance ecosystem to continue delivering strong results to our partners. While our focus remains on insurance, we plan to continue to grow opportunistically in sectors with similar market dynamics.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Our market opportunity</w:t>
      </w:r>
    </w:p>
    <w:p>
      <w:pPr>
        <w:spacing w:after="0" w:line="134" w:lineRule="exact"/>
        <w:rPr>
          <w:sz w:val="20"/>
          <w:szCs w:val="20"/>
          <w:color w:val="auto"/>
        </w:rPr>
      </w:pPr>
    </w:p>
    <w:p>
      <w:pPr>
        <w:ind w:left="140" w:right="20"/>
        <w:spacing w:after="0" w:line="236" w:lineRule="auto"/>
        <w:rPr>
          <w:sz w:val="20"/>
          <w:szCs w:val="20"/>
          <w:color w:val="auto"/>
        </w:rPr>
      </w:pPr>
      <w:r>
        <w:rPr>
          <w:rFonts w:ascii="Arial" w:cs="Arial" w:eastAsia="Arial" w:hAnsi="Arial"/>
          <w:sz w:val="18"/>
          <w:szCs w:val="18"/>
          <w:color w:val="auto"/>
        </w:rPr>
        <w:t>Insurance is one of the largest industries in the United States, with attractive growth characteristics and market fundamentals. Insurance companies wrote over $2 trillion in premiums in 2019, and the industry grew at a 6% CAGR from 2017 through 2019, according to the NAIC. Demand for insurance products is stable, due to, in many instances, coverage being mandatory by law (for example, auto insurance) or federally subsidized (for example, senior health insurance). The industry as a whole is highly competitive and invests heavily in customer acquisition. Total customer acquisition spend in the insurance industry was approximately $144 billion in 2019, representing year over year growth of approximately 6%, according to S&amp;P Global Market Intelligence.</w:t>
      </w:r>
    </w:p>
    <w:p>
      <w:pPr>
        <w:spacing w:after="0" w:line="102" w:lineRule="exact"/>
        <w:rPr>
          <w:sz w:val="20"/>
          <w:szCs w:val="20"/>
          <w:color w:val="auto"/>
        </w:rPr>
      </w:pPr>
    </w:p>
    <w:p>
      <w:pPr>
        <w:ind w:left="140"/>
        <w:spacing w:after="0" w:line="239" w:lineRule="auto"/>
        <w:rPr>
          <w:sz w:val="20"/>
          <w:szCs w:val="20"/>
          <w:color w:val="auto"/>
        </w:rPr>
      </w:pPr>
      <w:r>
        <w:rPr>
          <w:rFonts w:ascii="Arial" w:cs="Arial" w:eastAsia="Arial" w:hAnsi="Arial"/>
          <w:sz w:val="18"/>
          <w:szCs w:val="18"/>
          <w:color w:val="auto"/>
        </w:rPr>
        <w:t>Our technology platform was created to serve and grow with our insurance end markets. As such, we believe secular trends in the insurance industry will continue to provide strong tailwinds for our business.</w:t>
      </w:r>
    </w:p>
    <w:p>
      <w:pPr>
        <w:spacing w:after="0" w:line="94" w:lineRule="exact"/>
        <w:rPr>
          <w:sz w:val="20"/>
          <w:szCs w:val="20"/>
          <w:color w:val="auto"/>
        </w:rPr>
      </w:pPr>
    </w:p>
    <w:p>
      <w:pPr>
        <w:ind w:left="360" w:right="80" w:hanging="226"/>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Direct-to-consumer is the fastest growing insurance distribution channel. </w:t>
      </w:r>
      <w:r>
        <w:rPr>
          <w:rFonts w:ascii="Arial" w:cs="Arial" w:eastAsia="Arial" w:hAnsi="Arial"/>
          <w:sz w:val="18"/>
          <w:szCs w:val="18"/>
          <w:color w:val="auto"/>
        </w:rPr>
        <w:t>In the auto insurance industry, there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direct-to-consumer carriers (such as Progressive and GEICO) and more traditional, agent-based carriers (such as Liberty Mutual and Allstate). DTC carriers accounted for approximately 30% of industry premiums in 2018, up from approximately 23% in 2013, according to S&amp;P Global Market Intelligence. This industry shift to more direct distribution is accelerating. According to J.D. Power, GEICO and Progressive captured nearly 84% of premium growth within the auto insurance industry in 2019. This growth is largely driven by their outsized investments, relative to peers, in direct customer acquisition channels. According to</w:t>
      </w:r>
    </w:p>
    <w:p>
      <w:pPr>
        <w:spacing w:after="0" w:line="124" w:lineRule="exact"/>
        <w:rPr>
          <w:sz w:val="20"/>
          <w:szCs w:val="20"/>
          <w:color w:val="auto"/>
        </w:rPr>
      </w:pPr>
    </w:p>
    <w:p>
      <w:pPr>
        <w:ind w:left="460" w:right="20" w:hanging="326"/>
        <w:spacing w:after="0" w:line="248"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EBITDA” is a non-GAAP financial measure that we present in this prospectus to supplement the financial information we present on a GAAP basis. For a reconciliation of Adjusted EBITDA to the most directly comparable financial measure calculated and presented in accordance with GAAP, see “Management’s discussion and analysis of financial condition and results of operations—Key business and operating metrics.”</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405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058920"/>
                    </a:xfrm>
                    <a:prstGeom prst="rect">
                      <a:avLst/>
                    </a:prstGeom>
                    <a:noFill/>
                  </pic:spPr>
                </pic:pic>
              </a:graphicData>
            </a:graphic>
          </wp:anchor>
        </w:drawing>
      </w:r>
    </w:p>
    <w:p>
      <w:pPr>
        <w:spacing w:after="0" w:line="151" w:lineRule="exact"/>
        <w:rPr>
          <w:sz w:val="20"/>
          <w:szCs w:val="20"/>
          <w:color w:val="auto"/>
        </w:rPr>
      </w:pPr>
    </w:p>
    <w:p>
      <w:pPr>
        <w:ind w:left="360"/>
        <w:spacing w:after="0" w:line="236" w:lineRule="auto"/>
        <w:rPr>
          <w:sz w:val="20"/>
          <w:szCs w:val="20"/>
          <w:color w:val="auto"/>
        </w:rPr>
      </w:pPr>
      <w:r>
        <w:rPr>
          <w:rFonts w:ascii="Arial" w:cs="Arial" w:eastAsia="Arial" w:hAnsi="Arial"/>
          <w:sz w:val="18"/>
          <w:szCs w:val="18"/>
          <w:color w:val="auto"/>
        </w:rPr>
        <w:t>S&amp;P Global Market Intelligence, GEICO’s customer acquisition spend increased from $0.9 billion in 2017 to $1.7 billion in 2019, representing 82% growth, and Progressive’s customer acquisition spend increased from $1.5 billion in 2017 to $1.9 billion in 2019, representing 28% growth. Traditional, agent-based carriers have responded by investing more heavily in direct customer acquisition efforts themselves, as well as launching digital brands (such as Nationwide and Spire), acquiring digital agencies (such as Prudential and AssuranceIQ), or acquiring digital insurers (such as Allstate and Squaretrade). At the same time, a number of personal lines InsurTech companies have entered the space to capitalize on this shift (such as Root, Lemonade, and Hippo).</w:t>
      </w:r>
    </w:p>
    <w:p>
      <w:pPr>
        <w:spacing w:after="0" w:line="102" w:lineRule="exact"/>
        <w:rPr>
          <w:sz w:val="20"/>
          <w:szCs w:val="20"/>
          <w:color w:val="auto"/>
        </w:rPr>
      </w:pPr>
    </w:p>
    <w:p>
      <w:pPr>
        <w:ind w:left="360" w:right="40"/>
        <w:spacing w:after="0" w:line="238" w:lineRule="auto"/>
        <w:rPr>
          <w:sz w:val="20"/>
          <w:szCs w:val="20"/>
          <w:color w:val="auto"/>
        </w:rPr>
      </w:pPr>
      <w:r>
        <w:rPr>
          <w:rFonts w:ascii="Arial" w:cs="Arial" w:eastAsia="Arial" w:hAnsi="Arial"/>
          <w:sz w:val="18"/>
          <w:szCs w:val="18"/>
          <w:color w:val="auto"/>
        </w:rPr>
        <w:t>Similarly, tech-enabled distribution businesses focused on health and life insurance, such as eHealth, GoHealth, and SelectQuote, have also emerged in recent years, with revenue growth in excess of 40% in 2019. These companies advertise and acquire customers primarily through digital means and rank among the largest distribution platforms for health and life insurance products.</w:t>
      </w:r>
    </w:p>
    <w:p>
      <w:pPr>
        <w:spacing w:after="0" w:line="93" w:lineRule="exact"/>
        <w:rPr>
          <w:sz w:val="20"/>
          <w:szCs w:val="20"/>
          <w:color w:val="auto"/>
        </w:rPr>
      </w:pPr>
    </w:p>
    <w:p>
      <w:pPr>
        <w:ind w:left="360" w:right="20" w:hanging="226"/>
        <w:spacing w:after="0" w:line="238"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More insurance consumers are shopping online. </w:t>
      </w:r>
      <w:r>
        <w:rPr>
          <w:rFonts w:ascii="Arial" w:cs="Arial" w:eastAsia="Arial" w:hAnsi="Arial"/>
          <w:sz w:val="18"/>
          <w:szCs w:val="18"/>
          <w:color w:val="auto"/>
        </w:rPr>
        <w:t>Consumers are increasingly using the internet not just for research and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discovery but to purchase insurance as well. The J.D. Power 2020 U.S. Insurance Shopping Study suggests that 90% of consumers are open to purchasing their auto insurance online. A decade ago, 35% of consumers who had not made an online auto insurance policy purchase in the past said they would consider doing so in the future, according to the Comscore 2010 Online Auto Insurance Shopping Report. This shift is not only prevalent among younger insurance shoppers. According to LexisNexis Insurance Demand Meter, consumers 56 and older are the fastest growing online auto insurance shoppers in the first quarter of 2020. This older demographic is also going online for health information. According to BMC Health Services Research, 63% of people age 65 and older had obtained health information from a website in 2013.</w:t>
      </w:r>
    </w:p>
    <w:p>
      <w:pPr>
        <w:spacing w:after="0" w:line="99" w:lineRule="exact"/>
        <w:rPr>
          <w:rFonts w:ascii="Arial" w:cs="Arial" w:eastAsia="Arial" w:hAnsi="Arial"/>
          <w:sz w:val="18"/>
          <w:szCs w:val="18"/>
          <w:color w:val="auto"/>
        </w:rPr>
      </w:pPr>
    </w:p>
    <w:p>
      <w:pPr>
        <w:ind w:left="360" w:hanging="226"/>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Insurance customer acquisition spending is growing. </w:t>
      </w:r>
      <w:r>
        <w:rPr>
          <w:rFonts w:ascii="Arial" w:cs="Arial" w:eastAsia="Arial" w:hAnsi="Arial"/>
          <w:sz w:val="18"/>
          <w:szCs w:val="18"/>
          <w:color w:val="auto"/>
        </w:rPr>
        <w:t>Total insurance customer acquisition spending in 2019 totaled $144 billion, 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 over the previous year, according to S&amp;P Global Market Intelligence. In fact, two of the top three most-advertised brands in the U.S. across traditional and online channels are insurance companies—Progressive and GEICO. Progressive’s customer acquisition spend grew approximately 29% year over year to nearly $1.7 billion in 2019, while GEICO’s customer acquisition spend grew almost 12% to nearly $2 billion in the same period. In the face of such aggressive spending and customer acquisition by DTC insurance carriers such as Progressive and GEICO, agent-based carriers are compelled to spend heavily to remain competitive.</w:t>
      </w:r>
    </w:p>
    <w:p>
      <w:pPr>
        <w:spacing w:after="0" w:line="94" w:lineRule="exact"/>
        <w:rPr>
          <w:rFonts w:ascii="Arial" w:cs="Arial" w:eastAsia="Arial" w:hAnsi="Arial"/>
          <w:sz w:val="18"/>
          <w:szCs w:val="18"/>
          <w:color w:val="auto"/>
        </w:rPr>
      </w:pPr>
    </w:p>
    <w:p>
      <w:pPr>
        <w:ind w:left="360" w:right="20" w:hanging="226"/>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customer acquisition spending by insurers has plenty of headroom. </w:t>
      </w:r>
      <w:r>
        <w:rPr>
          <w:rFonts w:ascii="Arial" w:cs="Arial" w:eastAsia="Arial" w:hAnsi="Arial"/>
          <w:sz w:val="18"/>
          <w:szCs w:val="18"/>
          <w:color w:val="auto"/>
        </w:rPr>
        <w:t>According to William Blair, insurance carriers lag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acquisition spend in terms of percentage of budget allocated to digital. While the advertising industry as a whole now aligns its allocation of digital dollars with consumers’ time spent online (56% respectively in 2019), insurers allocate only 20-25% of their budgets to digital channels. Even category-leader Progressive is estimated to allocate only 30% of its budget to digital. William Blair further estimates that digital spend by the insurance industry is expected to grow at a 24% CAGR over the next six years, reaching approximately $16 billion by 2025, representing 31% of overall customer acquisition budgets.</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513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right="40" w:hanging="12"/>
        <w:spacing w:after="0" w:line="191" w:lineRule="auto"/>
        <w:rPr>
          <w:sz w:val="20"/>
          <w:szCs w:val="20"/>
          <w:color w:val="auto"/>
        </w:rPr>
      </w:pPr>
      <w:r>
        <w:rPr>
          <w:rFonts w:ascii="Arial" w:cs="Arial" w:eastAsia="Arial" w:hAnsi="Arial"/>
          <w:sz w:val="11"/>
          <w:szCs w:val="11"/>
          <w:color w:val="FFFFFF"/>
        </w:rPr>
        <w:t xml:space="preserve">Property &amp; casualty Medicare Life Sources: S&amp;P Global Market Intelligence, CMS, eHealth, Kaiser Family Foundation, Americas Health Insurance Plans, William Blair Note: Numbers may not sum to totals due to rounding $4.3 $5.6 $7.1 $9.0 $11.0 </w:t>
      </w:r>
      <w:r>
        <w:rPr>
          <w:rFonts w:ascii="Arial" w:cs="Arial" w:eastAsia="Arial" w:hAnsi="Arial"/>
          <w:sz w:val="20"/>
          <w:szCs w:val="20"/>
          <w:color w:val="FFFFFF"/>
          <w:vertAlign w:val="subscript"/>
        </w:rPr>
        <w:t>$13</w:t>
      </w:r>
      <w:r>
        <w:rPr>
          <w:rFonts w:ascii="Arial" w:cs="Arial" w:eastAsia="Arial" w:hAnsi="Arial"/>
          <w:sz w:val="11"/>
          <w:szCs w:val="11"/>
          <w:color w:val="FFFFFF"/>
        </w:rPr>
        <w:t xml:space="preserve">.2 </w:t>
      </w:r>
      <w:r>
        <w:rPr>
          <w:rFonts w:ascii="Arial" w:cs="Arial" w:eastAsia="Arial" w:hAnsi="Arial"/>
          <w:sz w:val="20"/>
          <w:szCs w:val="20"/>
          <w:color w:val="FFFFFF"/>
          <w:vertAlign w:val="subscript"/>
        </w:rPr>
        <w:t>$15</w:t>
      </w:r>
      <w:r>
        <w:rPr>
          <w:rFonts w:ascii="Arial" w:cs="Arial" w:eastAsia="Arial" w:hAnsi="Arial"/>
          <w:sz w:val="11"/>
          <w:szCs w:val="11"/>
          <w:color w:val="FFFFFF"/>
        </w:rPr>
        <w:t>.7 Digital distribution market size ($bn)</w:t>
      </w:r>
      <w:r>
        <w:rPr>
          <w:rFonts w:ascii="Arial" w:cs="Arial" w:eastAsia="Arial" w:hAnsi="Arial"/>
          <w:sz w:val="20"/>
          <w:szCs w:val="20"/>
          <w:color w:val="FFFFFF"/>
          <w:vertAlign w:val="subscript"/>
        </w:rPr>
        <w:t>2025</w:t>
      </w:r>
      <w:r>
        <w:rPr>
          <w:rFonts w:ascii="Arial" w:cs="Arial" w:eastAsia="Arial" w:hAnsi="Arial"/>
          <w:sz w:val="11"/>
          <w:szCs w:val="11"/>
          <w:color w:val="FFFFFF"/>
        </w:rPr>
        <w:t>.2 2.8 3.8 4.9 6.1 7.5 9.1 1.7 2.1 2.5 3.0 3.5 4.1 4.7 0.4 0.6 0.9 1.1</w:t>
      </w:r>
    </w:p>
    <w:p>
      <w:pPr>
        <w:spacing w:after="0" w:line="1" w:lineRule="exact"/>
        <w:rPr>
          <w:sz w:val="20"/>
          <w:szCs w:val="20"/>
          <w:color w:val="auto"/>
        </w:rPr>
      </w:pPr>
    </w:p>
    <w:p>
      <w:pPr>
        <w:jc w:val="center"/>
        <w:ind w:right="100"/>
        <w:spacing w:after="0"/>
        <w:tabs>
          <w:tab w:leader="none" w:pos="80" w:val="left"/>
          <w:tab w:leader="none" w:pos="80" w:val="left"/>
        </w:tabs>
        <w:rPr>
          <w:sz w:val="20"/>
          <w:szCs w:val="20"/>
          <w:color w:val="auto"/>
        </w:rPr>
      </w:pPr>
      <w:r>
        <w:rPr>
          <w:rFonts w:ascii="Arial" w:cs="Arial" w:eastAsia="Arial" w:hAnsi="Arial"/>
          <w:sz w:val="13"/>
          <w:szCs w:val="13"/>
          <w:color w:val="FFFFFF"/>
        </w:rPr>
        <w:t>.</w:t>
        <w:tab/>
        <w:t>1.6</w:t>
        <w:tab/>
        <w:t>.8 2019 2020 2021 2022 2023 2024</w:t>
      </w:r>
    </w:p>
    <w:p>
      <w:pPr>
        <w:spacing w:after="0" w:line="77" w:lineRule="exact"/>
        <w:rPr>
          <w:sz w:val="20"/>
          <w:szCs w:val="20"/>
          <w:color w:val="auto"/>
        </w:rPr>
      </w:pPr>
    </w:p>
    <w:p>
      <w:pPr>
        <w:ind w:left="360" w:hanging="219"/>
        <w:spacing w:after="0" w:line="238" w:lineRule="auto"/>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 xml:space="preserve">Carriers and distributors are increasingly focused on optimizing customer acquisition budgets. </w:t>
      </w:r>
      <w:r>
        <w:rPr>
          <w:rFonts w:ascii="Arial" w:cs="Arial" w:eastAsia="Arial" w:hAnsi="Arial"/>
          <w:sz w:val="18"/>
          <w:szCs w:val="18"/>
          <w:color w:val="auto"/>
        </w:rPr>
        <w:t>Mass-market customer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 is becoming more costly, leading carriers and distributors to increasingly focus on optimizing customer acquisition spend. They are able to do so by adopting the more sophisticated customer acquisition strategies enabled by data science. A significant percentage of marketers believe the inability to measure customer acquisition impact across channels and campaigns is one of their biggest challenges in demonstrating customer acquisition performance. We believe there is growing demand for improved transparency of Consumer Referral quality, for carriers to secure higher quality Consumer Referrals online, and for the ability to manage consumer acquisition spend across multiple vendors. A survey by CMO in February 2020 reported that marketing analytics spending is expected to increase by 56% in the next three years.</w:t>
      </w:r>
    </w:p>
    <w:p>
      <w:pPr>
        <w:spacing w:after="0" w:line="106" w:lineRule="exact"/>
        <w:rPr>
          <w:sz w:val="20"/>
          <w:szCs w:val="20"/>
          <w:color w:val="auto"/>
        </w:rPr>
      </w:pPr>
    </w:p>
    <w:p>
      <w:pPr>
        <w:ind w:left="140" w:right="60"/>
        <w:spacing w:after="0" w:line="268" w:lineRule="auto"/>
        <w:rPr>
          <w:sz w:val="20"/>
          <w:szCs w:val="20"/>
          <w:color w:val="auto"/>
        </w:rPr>
      </w:pPr>
      <w:r>
        <w:rPr>
          <w:rFonts w:ascii="Arial" w:cs="Arial" w:eastAsia="Arial" w:hAnsi="Arial"/>
          <w:sz w:val="16"/>
          <w:szCs w:val="16"/>
          <w:color w:val="auto"/>
        </w:rPr>
        <w:t>MediaAlpha is poised to capitalize on these trends. We believe we provide one of the leading technology platforms that enables insurance carriers and distributors to efficiently acquire customers online at scale. Our platform allows buyers to target consumers granularly and to determine their pricing based on how they value various consumer segments. Buyers leveraging our predictive analytics and data science capabilities make value-maximizing decisions on how to acquire customers. This results in greater customer acquisition efficiency and better return on investment, allowing us to attract more buyers into the ecosystem. Simultaneously, we provide our supply partners the insights and tools they need to drive competition for their high-intent consumers and maximize yield, which draws more supply partners into the ecosystem, providing our buyers with even more high-quality demand sources. As both demand and supply partners begin to see the benefits of the platform, we deepen our relationships with them through additional integrations that drive more data into the platform. All of this creates the powerful “flywheel” effect that has propelled our business forward as a result of the value created within our ecosystem.</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5884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460" w:right="360"/>
        <w:spacing w:after="0" w:line="192" w:lineRule="auto"/>
        <w:rPr>
          <w:sz w:val="20"/>
          <w:szCs w:val="20"/>
          <w:color w:val="auto"/>
        </w:rPr>
      </w:pPr>
      <w:r>
        <w:rPr>
          <w:rFonts w:ascii="Arial" w:cs="Arial" w:eastAsia="Arial" w:hAnsi="Arial"/>
          <w:sz w:val="11"/>
          <w:szCs w:val="11"/>
          <w:color w:val="FFFFFF"/>
        </w:rPr>
        <w:t>Greater efficiency and ROI More data More demand partners More supply partners More integrations More accurate pricing Higher ROI Higher yield More volume Improved engagement with supply and demand partners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Our target audience</w:t>
      </w:r>
    </w:p>
    <w:p>
      <w:pPr>
        <w:spacing w:after="0" w:line="114" w:lineRule="exact"/>
        <w:rPr>
          <w:sz w:val="20"/>
          <w:szCs w:val="20"/>
          <w:color w:val="auto"/>
        </w:rPr>
      </w:pPr>
    </w:p>
    <w:p>
      <w:pPr>
        <w:ind w:left="140" w:right="300"/>
        <w:spacing w:after="0" w:line="284" w:lineRule="auto"/>
        <w:rPr>
          <w:sz w:val="20"/>
          <w:szCs w:val="20"/>
          <w:color w:val="auto"/>
        </w:rPr>
      </w:pPr>
      <w:r>
        <w:rPr>
          <w:rFonts w:ascii="Arial" w:cs="Arial" w:eastAsia="Arial" w:hAnsi="Arial"/>
          <w:sz w:val="16"/>
          <w:szCs w:val="16"/>
          <w:b w:val="1"/>
          <w:bCs w:val="1"/>
          <w:i w:val="1"/>
          <w:iCs w:val="1"/>
          <w:color w:val="auto"/>
        </w:rPr>
        <w:t>Our buyers</w:t>
      </w:r>
      <w:r>
        <w:rPr>
          <w:rFonts w:ascii="Arial" w:cs="Arial" w:eastAsia="Arial" w:hAnsi="Arial"/>
          <w:sz w:val="16"/>
          <w:szCs w:val="16"/>
          <w:color w:val="auto"/>
        </w:rPr>
        <w:t>: Our demand partners are insurance carriers and distributors looking to target high-intent consumers deep in their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journey. Repeat buyers continue to be a strong driver of our growth, with 96.7% of our Transaction Value for 2020 driven by repeat buyers from 2019 (with Transaction Value from such repeat buyers increasing 39.6% in 2020). Annual spend per demand partner on our platform who contribute over $1 million in Transaction Value annually has continued to increase from $6.0 million in 2019 to $9.0 million in 2020.</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value proposition for buyers</w:t>
      </w:r>
    </w:p>
    <w:p>
      <w:pPr>
        <w:spacing w:after="0" w:line="117" w:lineRule="exact"/>
        <w:rPr>
          <w:sz w:val="20"/>
          <w:szCs w:val="20"/>
          <w:color w:val="auto"/>
        </w:rPr>
      </w:pPr>
    </w:p>
    <w:p>
      <w:pPr>
        <w:ind w:left="360" w:right="100" w:hanging="226"/>
        <w:spacing w:after="0" w:line="244"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Efficiency at scale. </w:t>
      </w:r>
      <w:r>
        <w:rPr>
          <w:rFonts w:ascii="Arial" w:cs="Arial" w:eastAsia="Arial" w:hAnsi="Arial"/>
          <w:sz w:val="18"/>
          <w:szCs w:val="18"/>
          <w:color w:val="auto"/>
        </w:rPr>
        <w:t>We believe we operate the insurance industry’s largest customer acquisition platform, delivering the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companies need to drive meaningful business results, while also providing precise targeting capabilities to ensure they connect with the right prospects. We believe this gives our demand partners the ability to realize greater efficiencies relative to other customer acquisition channels.</w:t>
      </w:r>
    </w:p>
    <w:p>
      <w:pPr>
        <w:spacing w:after="0" w:line="89" w:lineRule="exact"/>
        <w:rPr>
          <w:rFonts w:ascii="Arial" w:cs="Arial" w:eastAsia="Arial" w:hAnsi="Arial"/>
          <w:sz w:val="18"/>
          <w:szCs w:val="18"/>
          <w:color w:val="auto"/>
        </w:rPr>
      </w:pPr>
    </w:p>
    <w:p>
      <w:pPr>
        <w:jc w:val="both"/>
        <w:ind w:left="360" w:right="40" w:hanging="226"/>
        <w:spacing w:after="0" w:line="248"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Granular and transparent control. </w:t>
      </w:r>
      <w:r>
        <w:rPr>
          <w:rFonts w:ascii="Arial" w:cs="Arial" w:eastAsia="Arial" w:hAnsi="Arial"/>
          <w:sz w:val="18"/>
          <w:szCs w:val="18"/>
          <w:color w:val="auto"/>
        </w:rPr>
        <w:t>Our platform allows for real-time, granular control and full-source transparency with every buying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decision. We believe this gives our buyers the flexibility they need to realize favorable lifetime value relative to customer acquisition costs to maximize their revenue opportunities.</w:t>
      </w:r>
    </w:p>
    <w:p>
      <w:pPr>
        <w:spacing w:after="0" w:line="87" w:lineRule="exact"/>
        <w:rPr>
          <w:rFonts w:ascii="Arial" w:cs="Arial" w:eastAsia="Arial" w:hAnsi="Arial"/>
          <w:sz w:val="18"/>
          <w:szCs w:val="18"/>
          <w:color w:val="auto"/>
        </w:rPr>
      </w:pPr>
    </w:p>
    <w:p>
      <w:pPr>
        <w:jc w:val="both"/>
        <w:ind w:left="360" w:hanging="226"/>
        <w:spacing w:after="0" w:line="248"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Unparalleled partnership. </w:t>
      </w:r>
      <w:r>
        <w:rPr>
          <w:rFonts w:ascii="Arial" w:cs="Arial" w:eastAsia="Arial" w:hAnsi="Arial"/>
          <w:sz w:val="18"/>
          <w:szCs w:val="18"/>
          <w:color w:val="auto"/>
        </w:rPr>
        <w:t>With a fully managed service option, custom integrations, and industry-leading technology, we are dedicated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long-term value to our buyers’ businesses. We have designed our platform to put the best interests of our partners first, fostering a healthy ecosystem within which buyers can transact with confidence.</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5044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044440"/>
                    </a:xfrm>
                    <a:prstGeom prst="rect">
                      <a:avLst/>
                    </a:prstGeom>
                    <a:noFill/>
                  </pic:spPr>
                </pic:pic>
              </a:graphicData>
            </a:graphic>
          </wp:anchor>
        </w:drawing>
      </w:r>
    </w:p>
    <w:p>
      <w:pPr>
        <w:spacing w:after="0" w:line="131" w:lineRule="exact"/>
        <w:rPr>
          <w:sz w:val="20"/>
          <w:szCs w:val="20"/>
          <w:color w:val="auto"/>
        </w:rPr>
      </w:pPr>
    </w:p>
    <w:p>
      <w:pPr>
        <w:ind w:left="140" w:right="260"/>
        <w:spacing w:after="0"/>
        <w:rPr>
          <w:sz w:val="20"/>
          <w:szCs w:val="20"/>
          <w:color w:val="auto"/>
        </w:rPr>
      </w:pPr>
      <w:r>
        <w:rPr>
          <w:rFonts w:ascii="Arial" w:cs="Arial" w:eastAsia="Arial" w:hAnsi="Arial"/>
          <w:sz w:val="18"/>
          <w:szCs w:val="18"/>
          <w:b w:val="1"/>
          <w:bCs w:val="1"/>
          <w:i w:val="1"/>
          <w:iCs w:val="1"/>
          <w:color w:val="auto"/>
        </w:rPr>
        <w:t>Our Sellers</w:t>
      </w:r>
      <w:r>
        <w:rPr>
          <w:rFonts w:ascii="Arial" w:cs="Arial" w:eastAsia="Arial" w:hAnsi="Arial"/>
          <w:sz w:val="18"/>
          <w:szCs w:val="18"/>
          <w:color w:val="auto"/>
        </w:rPr>
        <w:t>: Our supply partners use our platform to monetize their digital consumer traffic. Our supply partners are primarily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carriers looking to maximize the value of non-converting or low LTV consumers, and insurance-focused research destinations looking to monetize high-intent customers. Repeat sellers continue to be a strong driver of our growth, with 97.9% of our Transaction Value for 2020 driven by repeat sellers from 2019 (with Transaction Value from such repeat sellers increasing 73.2% in 2020). Annual spend per supply partner who contribute over $1 million in Transaction Value annually on our platform has continued to increase from $7.8 million in 2019 to $11.9 million in 2020.</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value proposition for sellers</w:t>
      </w:r>
    </w:p>
    <w:p>
      <w:pPr>
        <w:spacing w:after="0" w:line="117" w:lineRule="exact"/>
        <w:rPr>
          <w:sz w:val="20"/>
          <w:szCs w:val="20"/>
          <w:color w:val="auto"/>
        </w:rPr>
      </w:pPr>
    </w:p>
    <w:p>
      <w:pPr>
        <w:ind w:left="360" w:right="40" w:hanging="226"/>
        <w:spacing w:after="0" w:line="262"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Yield maximization. </w:t>
      </w:r>
      <w:r>
        <w:rPr>
          <w:rFonts w:ascii="Arial" w:cs="Arial" w:eastAsia="Arial" w:hAnsi="Arial"/>
          <w:sz w:val="18"/>
          <w:szCs w:val="18"/>
          <w:color w:val="auto"/>
        </w:rPr>
        <w:t>Our proprietary technology platform provides sellers with a suite of optimization tools, as well as inventory and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features that maximize competition for, and yield from, their high-intent consumers.</w:t>
      </w:r>
    </w:p>
    <w:p>
      <w:pPr>
        <w:spacing w:after="0" w:line="74" w:lineRule="exact"/>
        <w:rPr>
          <w:rFonts w:ascii="Arial" w:cs="Arial" w:eastAsia="Arial" w:hAnsi="Arial"/>
          <w:sz w:val="18"/>
          <w:szCs w:val="18"/>
          <w:color w:val="auto"/>
        </w:rPr>
      </w:pPr>
    </w:p>
    <w:p>
      <w:pPr>
        <w:ind w:left="360" w:right="340" w:hanging="226"/>
        <w:spacing w:after="0" w:line="248"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Predictive analytics. </w:t>
      </w:r>
      <w:r>
        <w:rPr>
          <w:rFonts w:ascii="Arial" w:cs="Arial" w:eastAsia="Arial" w:hAnsi="Arial"/>
          <w:sz w:val="18"/>
          <w:szCs w:val="18"/>
          <w:color w:val="auto"/>
        </w:rPr>
        <w:t>Through our platform’s advanced predictive analytics features, sellers can assess conversion probabilities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customer LTV for every consumer in real time. We believe the integration of these data science models with our sellers’ user experience decision engines is a unique differentiator of our business.</w:t>
      </w:r>
    </w:p>
    <w:p>
      <w:pPr>
        <w:spacing w:after="0" w:line="87" w:lineRule="exact"/>
        <w:rPr>
          <w:rFonts w:ascii="Arial" w:cs="Arial" w:eastAsia="Arial" w:hAnsi="Arial"/>
          <w:sz w:val="18"/>
          <w:szCs w:val="18"/>
          <w:color w:val="auto"/>
        </w:rPr>
      </w:pPr>
    </w:p>
    <w:p>
      <w:pPr>
        <w:ind w:left="360" w:right="100" w:hanging="226"/>
        <w:spacing w:after="0" w:line="248"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Real-time insights. </w:t>
      </w:r>
      <w:r>
        <w:rPr>
          <w:rFonts w:ascii="Arial" w:cs="Arial" w:eastAsia="Arial" w:hAnsi="Arial"/>
          <w:sz w:val="18"/>
          <w:szCs w:val="18"/>
          <w:color w:val="auto"/>
        </w:rPr>
        <w:t>We provide our sellers with unique data as to the type of consumer segments each buyer values. By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in-depth reporting and real-time, granular insights, our sellers have the ability to continuously optimize their own customer acquisition and monetization decisions.</w:t>
      </w:r>
    </w:p>
    <w:p>
      <w:pPr>
        <w:spacing w:after="0" w:line="74" w:lineRule="exact"/>
        <w:rPr>
          <w:sz w:val="20"/>
          <w:szCs w:val="20"/>
          <w:color w:val="auto"/>
        </w:rPr>
      </w:pPr>
    </w:p>
    <w:p>
      <w:pPr>
        <w:ind w:left="140"/>
        <w:spacing w:after="0" w:line="244" w:lineRule="auto"/>
        <w:rPr>
          <w:sz w:val="20"/>
          <w:szCs w:val="20"/>
          <w:color w:val="auto"/>
        </w:rPr>
      </w:pPr>
      <w:r>
        <w:rPr>
          <w:rFonts w:ascii="Arial" w:cs="Arial" w:eastAsia="Arial" w:hAnsi="Arial"/>
          <w:sz w:val="18"/>
          <w:szCs w:val="18"/>
          <w:b w:val="1"/>
          <w:bCs w:val="1"/>
          <w:i w:val="1"/>
          <w:iCs w:val="1"/>
          <w:color w:val="auto"/>
        </w:rPr>
        <w:t>Our End Consumers</w:t>
      </w:r>
      <w:r>
        <w:rPr>
          <w:rFonts w:ascii="Arial" w:cs="Arial" w:eastAsia="Arial" w:hAnsi="Arial"/>
          <w:sz w:val="18"/>
          <w:szCs w:val="18"/>
          <w:color w:val="auto"/>
        </w:rPr>
        <w:t>: Our end consumers are primarily high-intent, online insurance shoppers. Due to the broad participation of top-tier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carriers within our ecosystem, consumers are able to more efficiently navigate a range of options and offers relevant to their policy searches. Through December 31, 2020, an average of 31 million consumers shopped for insurance products monthly through the websites of sellers on our platform and our proprietary websites.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value proposition for end consumers</w:t>
      </w:r>
    </w:p>
    <w:p>
      <w:pPr>
        <w:spacing w:after="0" w:line="117" w:lineRule="exact"/>
        <w:rPr>
          <w:sz w:val="20"/>
          <w:szCs w:val="20"/>
          <w:color w:val="auto"/>
        </w:rPr>
      </w:pPr>
    </w:p>
    <w:p>
      <w:pPr>
        <w:ind w:left="360" w:right="40" w:hanging="226"/>
        <w:spacing w:after="0" w:line="248"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Search relevancy. </w:t>
      </w:r>
      <w:r>
        <w:rPr>
          <w:rFonts w:ascii="Arial" w:cs="Arial" w:eastAsia="Arial" w:hAnsi="Arial"/>
          <w:sz w:val="18"/>
          <w:szCs w:val="18"/>
          <w:color w:val="auto"/>
        </w:rPr>
        <w:t>By enabling insurance carriers and distributors to apply sophisticated targeting, we facilitate the delivery of hyper-relevant product options to our end consumers based on consumer-provided demographics and other relevant characteristics. We believe this improves the overall research and purchase experience and allows our end consumers to make better real-time decisions.</w:t>
      </w:r>
    </w:p>
    <w:p>
      <w:pPr>
        <w:spacing w:after="0" w:line="87" w:lineRule="exact"/>
        <w:rPr>
          <w:rFonts w:ascii="Arial" w:cs="Arial" w:eastAsia="Arial" w:hAnsi="Arial"/>
          <w:sz w:val="18"/>
          <w:szCs w:val="18"/>
          <w:color w:val="auto"/>
        </w:rPr>
      </w:pPr>
    </w:p>
    <w:p>
      <w:pPr>
        <w:ind w:left="360" w:right="60" w:hanging="226"/>
        <w:spacing w:after="0" w:line="248"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Shopping efficiency. </w:t>
      </w:r>
      <w:r>
        <w:rPr>
          <w:rFonts w:ascii="Arial" w:cs="Arial" w:eastAsia="Arial" w:hAnsi="Arial"/>
          <w:sz w:val="18"/>
          <w:szCs w:val="18"/>
          <w:color w:val="auto"/>
        </w:rPr>
        <w:t>We facilitate access to the most relevant products for each respective end consumer, allowing for minimal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maximum efficiency, through an omni-channel, seamless consumer platform experience. We enable consumers to comparison shop and interact with insurance carriers and distributors through multiple mediums, including directly online or offline.</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Our strengths</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believe that our competitive advantages are based on the following key strengths:</w:t>
      </w:r>
    </w:p>
    <w:p>
      <w:pPr>
        <w:spacing w:after="0" w:line="97" w:lineRule="exact"/>
        <w:rPr>
          <w:sz w:val="20"/>
          <w:szCs w:val="20"/>
          <w:color w:val="auto"/>
        </w:rPr>
      </w:pPr>
    </w:p>
    <w:p>
      <w:pPr>
        <w:ind w:left="360" w:right="240" w:hanging="226"/>
        <w:spacing w:after="0" w:line="284"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scalable, innovative technology platform with rich data. </w:t>
      </w:r>
      <w:r>
        <w:rPr>
          <w:rFonts w:ascii="Arial" w:cs="Arial" w:eastAsia="Arial" w:hAnsi="Arial"/>
          <w:sz w:val="16"/>
          <w:szCs w:val="16"/>
          <w:color w:val="auto"/>
        </w:rPr>
        <w:t>Our proprietary platform is built to be highly extensible and flexible,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enabling us to quickly and efficiently develop custom solutions and tools to address the varying and evolving needs of our partners. Supported by our predictive analytics algorithms, our platform is able to provide continuous, real-time feedback and insights that buyers use to maximize the value of every consumer opportunity. Our deep data integrations allow our buyers to utilize millions of anonymized</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4453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4453255"/>
                    </a:xfrm>
                    <a:prstGeom prst="rect">
                      <a:avLst/>
                    </a:prstGeom>
                    <a:noFill/>
                  </pic:spPr>
                </pic:pic>
              </a:graphicData>
            </a:graphic>
          </wp:anchor>
        </w:drawing>
      </w:r>
    </w:p>
    <w:p>
      <w:pPr>
        <w:spacing w:after="0" w:line="151" w:lineRule="exact"/>
        <w:rPr>
          <w:sz w:val="20"/>
          <w:szCs w:val="20"/>
          <w:color w:val="auto"/>
        </w:rPr>
      </w:pPr>
    </w:p>
    <w:p>
      <w:pPr>
        <w:ind w:left="360" w:right="180"/>
        <w:spacing w:after="0" w:line="236" w:lineRule="auto"/>
        <w:rPr>
          <w:sz w:val="20"/>
          <w:szCs w:val="20"/>
          <w:color w:val="auto"/>
        </w:rPr>
      </w:pPr>
      <w:r>
        <w:rPr>
          <w:rFonts w:ascii="Arial" w:cs="Arial" w:eastAsia="Arial" w:hAnsi="Arial"/>
          <w:sz w:val="18"/>
          <w:szCs w:val="18"/>
          <w:color w:val="auto"/>
        </w:rPr>
        <w:t>data points to target and acquire their desired customers with a unique level of precision and control. As of December 31, 2020, there were over 380 insurance supply partners on our platform. We also provide our supply partners with sophisticated, data-driven yield management and monetization capabilities. We believe these capabilities are critical to our partners’ monetization strategies, as they enable optimization of business performance and revenue. Our platform is vertical agnostic, allowing us to expand into new markets with attractive attributes.</w:t>
      </w:r>
    </w:p>
    <w:p>
      <w:pPr>
        <w:spacing w:after="0" w:line="103" w:lineRule="exact"/>
        <w:rPr>
          <w:sz w:val="20"/>
          <w:szCs w:val="20"/>
          <w:color w:val="auto"/>
        </w:rPr>
      </w:pPr>
    </w:p>
    <w:p>
      <w:pPr>
        <w:ind w:left="360" w:right="200"/>
        <w:spacing w:after="0" w:line="239" w:lineRule="auto"/>
        <w:rPr>
          <w:sz w:val="20"/>
          <w:szCs w:val="20"/>
          <w:color w:val="auto"/>
        </w:rPr>
      </w:pPr>
      <w:r>
        <w:rPr>
          <w:rFonts w:ascii="Arial" w:cs="Arial" w:eastAsia="Arial" w:hAnsi="Arial"/>
          <w:sz w:val="18"/>
          <w:szCs w:val="18"/>
          <w:color w:val="auto"/>
        </w:rPr>
        <w:t>The increased participation in our technology-driven platform will continue to generate valuable data, enhance feedback loops, and drive stronger results for all participants in the ecosystem. We believe this creates a flywheel effect as our platform grows.</w:t>
      </w:r>
    </w:p>
    <w:p>
      <w:pPr>
        <w:spacing w:after="0" w:line="94" w:lineRule="exact"/>
        <w:rPr>
          <w:sz w:val="20"/>
          <w:szCs w:val="20"/>
          <w:color w:val="auto"/>
        </w:rPr>
      </w:pPr>
    </w:p>
    <w:p>
      <w:pPr>
        <w:ind w:left="360" w:right="40" w:hanging="226"/>
        <w:spacing w:after="0" w:line="277"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Superior operating leverage. </w:t>
      </w:r>
      <w:r>
        <w:rPr>
          <w:rFonts w:ascii="Arial" w:cs="Arial" w:eastAsia="Arial" w:hAnsi="Arial"/>
          <w:sz w:val="16"/>
          <w:szCs w:val="16"/>
          <w:color w:val="auto"/>
        </w:rPr>
        <w:t>We designed our business to be highly scalable, driving sustainable long-term growth that delivers superior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to both demand and supply partners. Our technology enables us to grow in a highly capital efficient manner, with minimal need for</w:t>
      </w:r>
    </w:p>
    <w:p>
      <w:pPr>
        <w:ind w:left="360"/>
        <w:spacing w:after="0"/>
        <w:rPr>
          <w:rFonts w:ascii="Arial" w:cs="Arial" w:eastAsia="Arial" w:hAnsi="Arial"/>
          <w:sz w:val="16"/>
          <w:szCs w:val="16"/>
          <w:color w:val="auto"/>
        </w:rPr>
      </w:pPr>
      <w:r>
        <w:rPr>
          <w:rFonts w:ascii="Arial" w:cs="Arial" w:eastAsia="Arial" w:hAnsi="Arial"/>
          <w:sz w:val="18"/>
          <w:szCs w:val="18"/>
          <w:color w:val="auto"/>
        </w:rPr>
        <w:t>working capital or capital expenditure investment. In 2020, we employed 100 individuals on average who drove $815.7 million of</w:t>
      </w:r>
    </w:p>
    <w:p>
      <w:pPr>
        <w:spacing w:after="0" w:line="203" w:lineRule="exact"/>
        <w:rPr>
          <w:sz w:val="20"/>
          <w:szCs w:val="20"/>
          <w:color w:val="auto"/>
        </w:rPr>
      </w:pPr>
    </w:p>
    <w:p>
      <w:pPr>
        <w:ind w:left="360" w:right="420"/>
        <w:spacing w:after="0" w:line="239" w:lineRule="auto"/>
        <w:rPr>
          <w:sz w:val="20"/>
          <w:szCs w:val="20"/>
          <w:color w:val="auto"/>
        </w:rPr>
      </w:pPr>
      <w:r>
        <w:rPr>
          <w:rFonts w:ascii="Arial" w:cs="Arial" w:eastAsia="Arial" w:hAnsi="Arial"/>
          <w:sz w:val="18"/>
          <w:szCs w:val="18"/>
          <w:color w:val="auto"/>
        </w:rPr>
        <w:t>Transaction Value ($8.2 million per employee), $ million of net income ($ million per employee), and $ million of Adjusted EBITDA ($ million per employee) for the year, reflecting the high operating leverage of our platform.</w:t>
      </w:r>
    </w:p>
    <w:p>
      <w:pPr>
        <w:spacing w:after="0" w:line="94" w:lineRule="exact"/>
        <w:rPr>
          <w:sz w:val="20"/>
          <w:szCs w:val="20"/>
          <w:color w:val="auto"/>
        </w:rPr>
      </w:pPr>
    </w:p>
    <w:p>
      <w:pPr>
        <w:ind w:left="360" w:right="120" w:hanging="226"/>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Sticky, tenured relationships with insurance carriers and distributors. </w:t>
      </w:r>
      <w:r>
        <w:rPr>
          <w:rFonts w:ascii="Arial" w:cs="Arial" w:eastAsia="Arial" w:hAnsi="Arial"/>
          <w:sz w:val="18"/>
          <w:szCs w:val="18"/>
          <w:color w:val="auto"/>
        </w:rPr>
        <w:t>We have developed multi-faceted, deeply-integrated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with insurance carriers and distributors, who are often both buyers and sellers on our platform. We enable insurance carriers and distributors as buyers to optimize customer acquisition spend by offering source-level transparency, granular controls, and predictive tools to drive measurably superior performance. When we work with these same carriers and distributors as sellers, we enable them to use data science to maximize value from consumers by turning high-intent policy shoppers unlikely to convert with that specific carrier or distributor into highly valuable Consumer Referrals for other carriers or distributors.</w:t>
      </w:r>
    </w:p>
    <w:p>
      <w:pPr>
        <w:spacing w:after="0" w:line="101" w:lineRule="exact"/>
        <w:rPr>
          <w:rFonts w:ascii="Arial" w:cs="Arial" w:eastAsia="Arial" w:hAnsi="Arial"/>
          <w:sz w:val="18"/>
          <w:szCs w:val="18"/>
          <w:color w:val="auto"/>
        </w:rPr>
      </w:pPr>
    </w:p>
    <w:p>
      <w:pPr>
        <w:ind w:left="360"/>
        <w:spacing w:after="0" w:line="238" w:lineRule="auto"/>
        <w:rPr>
          <w:rFonts w:ascii="Arial" w:cs="Arial" w:eastAsia="Arial" w:hAnsi="Arial"/>
          <w:sz w:val="18"/>
          <w:szCs w:val="18"/>
          <w:color w:val="auto"/>
        </w:rPr>
      </w:pPr>
      <w:r>
        <w:rPr>
          <w:rFonts w:ascii="Arial" w:cs="Arial" w:eastAsia="Arial" w:hAnsi="Arial"/>
          <w:sz w:val="18"/>
          <w:szCs w:val="18"/>
          <w:color w:val="auto"/>
        </w:rPr>
        <w:t>We believe the versatility and breadth of our offerings, coupled with our focus on high-quality products, provide significant value to insurance carriers and distributors, resulting in strong retention rates. As a result, many insurance carriers and distributors use our platform as their central hub for broadly managing digital customer acquisition and monetization.</w:t>
      </w:r>
    </w:p>
    <w:p>
      <w:pPr>
        <w:spacing w:after="0" w:line="99" w:lineRule="exact"/>
        <w:rPr>
          <w:rFonts w:ascii="Arial" w:cs="Arial" w:eastAsia="Arial" w:hAnsi="Arial"/>
          <w:sz w:val="18"/>
          <w:szCs w:val="18"/>
          <w:color w:val="auto"/>
        </w:rPr>
      </w:pPr>
    </w:p>
    <w:p>
      <w:pPr>
        <w:ind w:left="360" w:right="140"/>
        <w:spacing w:after="0" w:line="237" w:lineRule="auto"/>
        <w:rPr>
          <w:rFonts w:ascii="Arial" w:cs="Arial" w:eastAsia="Arial" w:hAnsi="Arial"/>
          <w:sz w:val="18"/>
          <w:szCs w:val="18"/>
          <w:color w:val="auto"/>
        </w:rPr>
      </w:pPr>
      <w:r>
        <w:rPr>
          <w:rFonts w:ascii="Arial" w:cs="Arial" w:eastAsia="Arial" w:hAnsi="Arial"/>
          <w:sz w:val="18"/>
          <w:szCs w:val="18"/>
          <w:color w:val="auto"/>
        </w:rPr>
        <w:t>Our relationships with our partners are deep, long standing, and involve the top-tier insurance carriers in the industry. In terms of buyers, 15 of the top 20 largest auto insurance carriers by customer acquisition spend are on our platform. In 2020, 96.7% of total Transaction Value executed on our platform came from demand partner relationships from 2019. Approximately half of our supply partners have been on our platform since 2016.</w:t>
      </w:r>
    </w:p>
    <w:p>
      <w:pPr>
        <w:spacing w:after="0" w:line="93" w:lineRule="exact"/>
        <w:rPr>
          <w:rFonts w:ascii="Arial" w:cs="Arial" w:eastAsia="Arial" w:hAnsi="Arial"/>
          <w:sz w:val="18"/>
          <w:szCs w:val="18"/>
          <w:color w:val="auto"/>
        </w:rPr>
      </w:pPr>
    </w:p>
    <w:p>
      <w:pPr>
        <w:ind w:left="360" w:right="160" w:hanging="226"/>
        <w:spacing w:after="0" w:line="27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Culture of transparency, innovation, and execution. </w:t>
      </w:r>
      <w:r>
        <w:rPr>
          <w:rFonts w:ascii="Arial" w:cs="Arial" w:eastAsia="Arial" w:hAnsi="Arial"/>
          <w:sz w:val="16"/>
          <w:szCs w:val="16"/>
          <w:color w:val="auto"/>
        </w:rPr>
        <w:t>Since inception, our co-founders have led with the vision of bringing unparalleled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transparency and efficiency to the online customer acquisition ecosystem, executed through a powerful technology-enabled platform. Transparency is built into our platform and is at the heart of our culture, enabling us to focus on sustainable long-term success over near-term wins. We are relentless about continuous innovation and aim to use our platform to solve big industry-wide problems. We are data-driven and focused on delivering measurable results for our partners. We believe that our long-term vision, dedication to solving systemic problems in the industry, and our relentless drive to improve will continue to empower us to be the platform of choice for our partners.</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Our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-158750</wp:posOffset>
            </wp:positionV>
            <wp:extent cx="6998970" cy="4676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intend to grow our business through the following key areas:</w:t>
      </w:r>
    </w:p>
    <w:p>
      <w:pPr>
        <w:spacing w:after="0" w:line="97" w:lineRule="exact"/>
        <w:rPr>
          <w:sz w:val="20"/>
          <w:szCs w:val="20"/>
          <w:color w:val="auto"/>
        </w:rPr>
      </w:pPr>
    </w:p>
    <w:p>
      <w:pPr>
        <w:ind w:left="360" w:right="200" w:hanging="226"/>
        <w:spacing w:after="0" w:line="284"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Transaction Value from our partners. </w:t>
      </w:r>
      <w:r>
        <w:rPr>
          <w:rFonts w:ascii="Arial" w:cs="Arial" w:eastAsia="Arial" w:hAnsi="Arial"/>
          <w:sz w:val="16"/>
          <w:szCs w:val="16"/>
          <w:color w:val="auto"/>
        </w:rPr>
        <w:t>We aim to increase overall Transaction Value from our partners across our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verticals by continuously improving the volume and accuracy of customer conversion data, eliminating friction between consumer handoffs, and developing additional tools and features to increase engagement. We believe that providing our platform participants with better value and a larger selection of high-quality Consumer Referrals over time will lead to increased spending on our platform.</w:t>
      </w:r>
    </w:p>
    <w:p>
      <w:pPr>
        <w:spacing w:after="0" w:line="60" w:lineRule="exact"/>
        <w:rPr>
          <w:rFonts w:ascii="Arial" w:cs="Arial" w:eastAsia="Arial" w:hAnsi="Arial"/>
          <w:sz w:val="16"/>
          <w:szCs w:val="16"/>
          <w:color w:val="auto"/>
        </w:rPr>
      </w:pPr>
    </w:p>
    <w:p>
      <w:pPr>
        <w:ind w:left="360" w:hanging="226"/>
        <w:spacing w:after="0" w:line="241"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ecosystem efficiency. </w:t>
      </w:r>
      <w:r>
        <w:rPr>
          <w:rFonts w:ascii="Arial" w:cs="Arial" w:eastAsia="Arial" w:hAnsi="Arial"/>
          <w:sz w:val="18"/>
          <w:szCs w:val="18"/>
          <w:color w:val="auto"/>
        </w:rPr>
        <w:t>We believe that traditional customer acquisition models are highly inefficient, charging platform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inflated prices while lacking the transparency and granularity to allow participants to reach end consumers effectively. We were founded to disrupt and address these systemic inefficiencies and will continue to do so by enhancing automated buying strategies and granular price discovery processes. We will continue to expand our platform and drive value for all participants within the ecosystem by increasing the data integration with our partners into our platform.</w:t>
      </w:r>
    </w:p>
    <w:p>
      <w:pPr>
        <w:spacing w:after="0" w:line="94" w:lineRule="exact"/>
        <w:rPr>
          <w:rFonts w:ascii="Arial" w:cs="Arial" w:eastAsia="Arial" w:hAnsi="Arial"/>
          <w:sz w:val="18"/>
          <w:szCs w:val="18"/>
          <w:color w:val="auto"/>
        </w:rPr>
      </w:pPr>
    </w:p>
    <w:p>
      <w:pPr>
        <w:ind w:left="360" w:right="420" w:hanging="226"/>
        <w:spacing w:after="0" w:line="325"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Bring new partners to our platform. </w:t>
      </w:r>
      <w:r>
        <w:rPr>
          <w:rFonts w:ascii="Arial" w:cs="Arial" w:eastAsia="Arial" w:hAnsi="Arial"/>
          <w:sz w:val="16"/>
          <w:szCs w:val="16"/>
          <w:color w:val="auto"/>
        </w:rPr>
        <w:t>There are potential buyers and sellers who are not yet using our platform. We intend to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our platform with new insurance partners through business development, word-of-mouth referrals, and inbound inquiries.</w:t>
      </w:r>
    </w:p>
    <w:p>
      <w:pPr>
        <w:spacing w:after="0" w:line="28" w:lineRule="exact"/>
        <w:rPr>
          <w:rFonts w:ascii="Arial" w:cs="Arial" w:eastAsia="Arial" w:hAnsi="Arial"/>
          <w:sz w:val="16"/>
          <w:szCs w:val="16"/>
          <w:color w:val="auto"/>
        </w:rPr>
      </w:pPr>
    </w:p>
    <w:p>
      <w:pPr>
        <w:ind w:left="360" w:hanging="226"/>
        <w:spacing w:after="0" w:line="294"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product offerings. </w:t>
      </w:r>
      <w:r>
        <w:rPr>
          <w:rFonts w:ascii="Arial" w:cs="Arial" w:eastAsia="Arial" w:hAnsi="Arial"/>
          <w:sz w:val="16"/>
          <w:szCs w:val="16"/>
          <w:color w:val="auto"/>
        </w:rPr>
        <w:t>We are constantly exploring new ways to deliver value to our partners through development of new tools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services and improvement of our conversion analytics model. We believe that providing further customized solutions and higher touch services for our partners will enhance the stickiness of our offerings and drive more customer acquisition spend and users to our platform.</w:t>
      </w:r>
    </w:p>
    <w:p>
      <w:pPr>
        <w:spacing w:after="0" w:line="52" w:lineRule="exact"/>
        <w:rPr>
          <w:rFonts w:ascii="Arial" w:cs="Arial" w:eastAsia="Arial" w:hAnsi="Arial"/>
          <w:sz w:val="16"/>
          <w:szCs w:val="16"/>
          <w:color w:val="auto"/>
        </w:rPr>
      </w:pPr>
    </w:p>
    <w:p>
      <w:pPr>
        <w:ind w:left="360" w:right="60" w:hanging="226"/>
        <w:spacing w:after="0" w:line="241"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our relationships with agents. </w:t>
      </w:r>
      <w:r>
        <w:rPr>
          <w:rFonts w:ascii="Arial" w:cs="Arial" w:eastAsia="Arial" w:hAnsi="Arial"/>
          <w:sz w:val="18"/>
          <w:szCs w:val="18"/>
          <w:color w:val="auto"/>
        </w:rPr>
        <w:t>We intend to strategically expand our insurance agency relationships to capture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acquisition spend within our core insurance verticals. We have a dedicated team working to incorporate agents into our digital platform and help them expand their customer acquisition capabilities. We generated over 79 million Consumer Referrals in the year ended December 31, 2020, equipping us with valuable conversion insights to help us optimize consumer routing to agents based on their desired goals. This dedicated team will continue to enhance our agency capabilities.</w:t>
      </w:r>
    </w:p>
    <w:p>
      <w:pPr>
        <w:spacing w:after="0" w:line="94" w:lineRule="exact"/>
        <w:rPr>
          <w:rFonts w:ascii="Arial" w:cs="Arial" w:eastAsia="Arial" w:hAnsi="Arial"/>
          <w:sz w:val="18"/>
          <w:szCs w:val="18"/>
          <w:color w:val="auto"/>
        </w:rPr>
      </w:pPr>
    </w:p>
    <w:p>
      <w:pPr>
        <w:ind w:left="360" w:right="100" w:hanging="226"/>
        <w:spacing w:after="0" w:line="241"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into and scale new verticals. </w:t>
      </w:r>
      <w:r>
        <w:rPr>
          <w:rFonts w:ascii="Arial" w:cs="Arial" w:eastAsia="Arial" w:hAnsi="Arial"/>
          <w:sz w:val="18"/>
          <w:szCs w:val="18"/>
          <w:color w:val="auto"/>
        </w:rPr>
        <w:t>While we have primarily focused our efforts on growing our core insurance verticals, we continue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seek expansion opportunities in markets that share similar characteristics. For example, we entered the health insurance and life insurance markets in 2014, and were able to scale to $217.7 million in Transaction Value for the year ended December 31, 2020, representing 38.5% year over year growth. We believe our vertical-agnostic platform and established playbook for entering new markets will allow us to capture attractive market opportunities effectively.</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Class A common stock and Class B common stock</w:t>
      </w:r>
    </w:p>
    <w:p>
      <w:pPr>
        <w:spacing w:after="0" w:line="134" w:lineRule="exact"/>
        <w:rPr>
          <w:sz w:val="20"/>
          <w:szCs w:val="20"/>
          <w:color w:val="auto"/>
        </w:rPr>
      </w:pPr>
    </w:p>
    <w:p>
      <w:pPr>
        <w:jc w:val="both"/>
        <w:ind w:left="140" w:right="300"/>
        <w:spacing w:after="0" w:line="238" w:lineRule="auto"/>
        <w:rPr>
          <w:sz w:val="20"/>
          <w:szCs w:val="20"/>
          <w:color w:val="auto"/>
        </w:rPr>
      </w:pPr>
      <w:r>
        <w:rPr>
          <w:rFonts w:ascii="Arial" w:cs="Arial" w:eastAsia="Arial" w:hAnsi="Arial"/>
          <w:sz w:val="18"/>
          <w:szCs w:val="18"/>
          <w:color w:val="auto"/>
        </w:rPr>
        <w:t>Our outstanding capital stock consists of Class A common stock and Class B common stock. Investors in this offering will hold shares of Class A common stock. Both the Class A common stock and Class B common stock have one vote per share. See “Description of capital stock.”</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Our history and the IPO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-158750</wp:posOffset>
            </wp:positionV>
            <wp:extent cx="6998970" cy="5550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114" w:lineRule="exact"/>
        <w:rPr>
          <w:sz w:val="20"/>
          <w:szCs w:val="20"/>
          <w:color w:val="auto"/>
        </w:rPr>
      </w:pPr>
    </w:p>
    <w:p>
      <w:pPr>
        <w:ind w:left="140"/>
        <w:spacing w:after="0" w:line="235" w:lineRule="auto"/>
        <w:rPr>
          <w:sz w:val="20"/>
          <w:szCs w:val="20"/>
          <w:color w:val="auto"/>
        </w:rPr>
      </w:pPr>
      <w:r>
        <w:rPr>
          <w:rFonts w:ascii="Arial" w:cs="Arial" w:eastAsia="Arial" w:hAnsi="Arial"/>
          <w:sz w:val="18"/>
          <w:szCs w:val="18"/>
          <w:color w:val="auto"/>
        </w:rPr>
        <w:t>Historically, our business has been operated through QL Holdings LLC, together with its subsidiaries. MediaAlpha, Inc. was formed for purposes of the IPO and had, prior to the consummation of the IPO, engaged only in activities in contemplation of the IPO. We operate and control all of our businesses and affairs through Intermediate Holdco and QL Holdings LLC (and its subsidiaries), and the financial results of Intermediate Holdco and QL Holdings LLC will be consolidated in our financial statements beginning with the fiscal periods ending December 31, 2020. MediaAlpha, Inc. is a holding company whose sole material asset is all of the shares of its wholly owned subsidiary, Intermediate Holdco, which in turn owns all of the Class A-1 units of QL Holdings LLC. The Class B-1 units are directly or indirectly owned by the Senior Executives and Insignia. For more information regarding the IPO reorganization and holding company structure, see “IPO reorganization transactions” and “Principal and selling stockholders.” The diagram below shows our organizational structure immediately after the completion of this offering (assuming no exercise of the over-allotment option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Senior secured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-158750</wp:posOffset>
            </wp:positionV>
            <wp:extent cx="6998970" cy="5233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114" w:lineRule="exact"/>
        <w:rPr>
          <w:sz w:val="20"/>
          <w:szCs w:val="20"/>
          <w:color w:val="auto"/>
        </w:rPr>
      </w:pPr>
    </w:p>
    <w:p>
      <w:pPr>
        <w:ind w:left="140" w:right="100"/>
        <w:spacing w:after="0" w:line="237" w:lineRule="auto"/>
        <w:rPr>
          <w:sz w:val="20"/>
          <w:szCs w:val="20"/>
          <w:color w:val="auto"/>
        </w:rPr>
      </w:pPr>
      <w:r>
        <w:rPr>
          <w:rFonts w:ascii="Arial" w:cs="Arial" w:eastAsia="Arial" w:hAnsi="Arial"/>
          <w:sz w:val="18"/>
          <w:szCs w:val="18"/>
          <w:color w:val="auto"/>
        </w:rPr>
        <w:t>On September 23, 2020, QuoteLab, LLC entered into a new credit agreement (the “2020 Credit Agreement”) with JPMorgan Chase Bank, N.A., as lender and administrative agent, and the other lenders from time to time party thereto, providing for senior secured credit facilities (the “2020 Credit Facilities”) consisting of (i) a $210.0 million term loan facility (the “2020 Term Loan Facility”) and (ii) a $5.0 million revolving credit facility (the “2020 Revolving Credit Facility”).</w:t>
      </w:r>
    </w:p>
    <w:p>
      <w:pPr>
        <w:spacing w:after="0" w:line="100" w:lineRule="exact"/>
        <w:rPr>
          <w:sz w:val="20"/>
          <w:szCs w:val="20"/>
          <w:color w:val="auto"/>
        </w:rPr>
      </w:pPr>
    </w:p>
    <w:p>
      <w:pPr>
        <w:jc w:val="both"/>
        <w:ind w:left="140" w:right="440"/>
        <w:spacing w:after="0" w:line="264" w:lineRule="auto"/>
        <w:rPr>
          <w:sz w:val="20"/>
          <w:szCs w:val="20"/>
          <w:color w:val="auto"/>
        </w:rPr>
      </w:pPr>
      <w:r>
        <w:rPr>
          <w:rFonts w:ascii="Arial" w:cs="Arial" w:eastAsia="Arial" w:hAnsi="Arial"/>
          <w:sz w:val="16"/>
          <w:szCs w:val="16"/>
          <w:color w:val="auto"/>
        </w:rPr>
        <w:t>Proceeds from the 2020 Term Loan Facility were used to refinance our senior secured credit facilities with Monroe Capital Management Advisors, LLC and City National Bank, which consisted of (i) a $100.0 million term loan and (ii) a $5.0 million revolving credit facility (the “2019 Credit Facilities”) and pay related fees and expenses and fund a $105.8 million distribution to equity holders of QL Holdings LLC.</w:t>
      </w:r>
    </w:p>
    <w:p>
      <w:pPr>
        <w:ind w:left="140" w:right="120"/>
        <w:spacing w:after="0" w:line="236" w:lineRule="auto"/>
        <w:rPr>
          <w:sz w:val="20"/>
          <w:szCs w:val="20"/>
          <w:color w:val="auto"/>
        </w:rPr>
      </w:pPr>
      <w:r>
        <w:rPr>
          <w:rFonts w:ascii="Arial" w:cs="Arial" w:eastAsia="Arial" w:hAnsi="Arial"/>
          <w:sz w:val="18"/>
          <w:szCs w:val="18"/>
          <w:color w:val="auto"/>
        </w:rPr>
        <w:t>QuoteLab, LLC used a further $9.0 million of cash on hand to fund the distribution and the payment of certain deferred finance costs. The 2020 Revolving Credit Facility is available for general corporate purposes and includes a letter of credit sub-facility of up to $2.5 million. The 2020 Credit Facilities also include an uncommitted incremental facility, which, subject to certain conditions, would provide for additional term loan facilities, an increase in commitments under the 2020 Term Loan Facility and/or an increase in commitments under the 2020 Revolving Credit Facility, in an aggregate amount of up to $50.0 million.</w:t>
      </w:r>
    </w:p>
    <w:p>
      <w:pPr>
        <w:spacing w:after="0" w:line="103" w:lineRule="exact"/>
        <w:rPr>
          <w:sz w:val="20"/>
          <w:szCs w:val="20"/>
          <w:color w:val="auto"/>
        </w:rPr>
      </w:pPr>
    </w:p>
    <w:p>
      <w:pPr>
        <w:ind w:left="140" w:right="260"/>
        <w:spacing w:after="0" w:line="239" w:lineRule="auto"/>
        <w:rPr>
          <w:sz w:val="20"/>
          <w:szCs w:val="20"/>
          <w:color w:val="auto"/>
        </w:rPr>
      </w:pPr>
      <w:r>
        <w:rPr>
          <w:rFonts w:ascii="Arial" w:cs="Arial" w:eastAsia="Arial" w:hAnsi="Arial"/>
          <w:sz w:val="18"/>
          <w:szCs w:val="18"/>
          <w:color w:val="auto"/>
        </w:rPr>
        <w:t>As of the date hereof, the aggregate principal amount of the 2020 Term Loan Facility was $186.4 million and our borrowing capacity under the 2020 Revolving Credit Facility was $5.0 million.</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Our initial public offering</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On October 30, 2020, MediaAlpha, Inc. closed its IPO of 7,027,606 shares of Class A common stock and received</w:t>
      </w:r>
    </w:p>
    <w:p>
      <w:pPr>
        <w:ind w:left="140"/>
        <w:spacing w:after="0" w:line="236" w:lineRule="auto"/>
        <w:rPr>
          <w:sz w:val="20"/>
          <w:szCs w:val="20"/>
          <w:color w:val="auto"/>
        </w:rPr>
      </w:pPr>
      <w:r>
        <w:rPr>
          <w:rFonts w:ascii="Arial" w:cs="Arial" w:eastAsia="Arial" w:hAnsi="Arial"/>
          <w:sz w:val="18"/>
          <w:szCs w:val="18"/>
          <w:color w:val="auto"/>
        </w:rPr>
        <w:t>$124.2 million in proceeds, net of underwriting discounts and commissions of $9.3 million. MediaAlpha, Inc. contributed (i) $84.3 million of the net proceeds to Intermediate Holdco for Intermediate Holdco to repurchase 4,772,449 Class B-1 units (which Class B-1 units were converted into Class A-1 units of QL Holdings LLC) from the Selling Class B Unitholders and (ii) $23.6 million of the net proceeds to Intermediate Holdco for further contribution to QL Holdings LLC and QuoteLab, LLC, to repay outstanding borrowings under the 2020 Term Loan Facility. The remaining net proceeds of $16.3 million were contributed to Intermediate Holdco for further contribution to QL Holdings LLC and QuoteLab, LLC to pay for costs associated with the offering and to use for working capital, capital expenditures and general corporate purposes. In connection with the IPO, White Mountains Investments (Luxembourg) S.à r.l., a wholly-owned subsidiary of White Mountains, sold 3,609,894 shares of Class A common stock.</w:t>
      </w:r>
    </w:p>
    <w:p>
      <w:pPr>
        <w:spacing w:after="0" w:line="100" w:lineRule="exact"/>
        <w:rPr>
          <w:sz w:val="20"/>
          <w:szCs w:val="20"/>
          <w:color w:val="auto"/>
        </w:rPr>
      </w:pPr>
    </w:p>
    <w:p>
      <w:pPr>
        <w:ind w:left="140" w:right="180"/>
        <w:spacing w:after="0" w:line="238" w:lineRule="auto"/>
        <w:rPr>
          <w:sz w:val="20"/>
          <w:szCs w:val="20"/>
          <w:color w:val="auto"/>
        </w:rPr>
      </w:pPr>
      <w:r>
        <w:rPr>
          <w:rFonts w:ascii="Arial" w:cs="Arial" w:eastAsia="Arial" w:hAnsi="Arial"/>
          <w:sz w:val="18"/>
          <w:szCs w:val="18"/>
          <w:color w:val="auto"/>
        </w:rPr>
        <w:t>As of immediately after the closing of the IPO, we had 33,169,141 shares of Class A common stock outstanding (of which 20,532,202 were held by White Mountains) and 25,536,043 shares of Class B common stock outstanding (of which 14,334,853 were held by the Senior Executives and 10,635,405 were held by Insiginia).</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Summary of risk factors</w:t>
      </w:r>
    </w:p>
    <w:p>
      <w:pPr>
        <w:spacing w:after="0" w:line="134" w:lineRule="exact"/>
        <w:rPr>
          <w:sz w:val="20"/>
          <w:szCs w:val="20"/>
          <w:color w:val="auto"/>
        </w:rPr>
      </w:pPr>
    </w:p>
    <w:p>
      <w:pPr>
        <w:ind w:left="140" w:right="60"/>
        <w:spacing w:after="0" w:line="237" w:lineRule="auto"/>
        <w:rPr>
          <w:sz w:val="20"/>
          <w:szCs w:val="20"/>
          <w:color w:val="auto"/>
        </w:rPr>
      </w:pPr>
      <w:r>
        <w:rPr>
          <w:rFonts w:ascii="Arial" w:cs="Arial" w:eastAsia="Arial" w:hAnsi="Arial"/>
          <w:sz w:val="18"/>
          <w:szCs w:val="18"/>
          <w:color w:val="auto"/>
        </w:rPr>
        <w:t>You should consider carefully the risks described under the “Risk factors” section beginning on page 22 and elsewhere in this prospectus before making a decision to invest in our Class A common stock. These risks could materially and adversely affect our business, financial condition, operating results, cash flow, and prospects, which could cause the trading price of our Class A common stock to decline and could result in a partial or total loss of your investment. These risks include, among others, those related to:</w:t>
      </w:r>
    </w:p>
    <w:p>
      <w:pPr>
        <w:spacing w:after="0" w:line="114" w:lineRule="exact"/>
        <w:rPr>
          <w:sz w:val="20"/>
          <w:szCs w:val="20"/>
          <w:color w:val="auto"/>
        </w:rPr>
      </w:pPr>
    </w:p>
    <w:p>
      <w:pPr>
        <w:ind w:left="360" w:right="160" w:hanging="226"/>
        <w:spacing w:after="0" w:line="239"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insurance carriers to our platform and to make available quality Consumer Referrals at attractive volumes and prices to drive transactions on our platform;</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5575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151" w:lineRule="exact"/>
        <w:rPr>
          <w:sz w:val="20"/>
          <w:szCs w:val="20"/>
          <w:color w:val="auto"/>
        </w:rPr>
      </w:pPr>
    </w:p>
    <w:p>
      <w:pPr>
        <w:ind w:left="360" w:right="500" w:hanging="226"/>
        <w:spacing w:after="0" w:line="239"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a limited number of insurance carriers, many of which have no long-term contractual commitments with us, and any potential termination of those relationships;</w:t>
      </w:r>
    </w:p>
    <w:p>
      <w:pPr>
        <w:spacing w:after="0" w:line="114" w:lineRule="exact"/>
        <w:rPr>
          <w:rFonts w:ascii="Arial" w:cs="Arial" w:eastAsia="Arial" w:hAnsi="Arial"/>
          <w:sz w:val="18"/>
          <w:szCs w:val="18"/>
          <w:color w:val="auto"/>
        </w:rPr>
      </w:pPr>
    </w:p>
    <w:p>
      <w:pPr>
        <w:ind w:left="360" w:hanging="22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and future laws and regulations affecting the property &amp; casualty insurance, health insurance, and life insurance markets;</w:t>
      </w:r>
    </w:p>
    <w:p>
      <w:pPr>
        <w:spacing w:after="0" w:line="117" w:lineRule="exact"/>
        <w:rPr>
          <w:rFonts w:ascii="Arial" w:cs="Arial" w:eastAsia="Arial" w:hAnsi="Arial"/>
          <w:sz w:val="18"/>
          <w:szCs w:val="18"/>
          <w:color w:val="auto"/>
        </w:rPr>
      </w:pPr>
    </w:p>
    <w:p>
      <w:pPr>
        <w:ind w:left="360" w:hanging="22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and developments in the regulation of the underlying industries in which our partners operate;</w:t>
      </w:r>
    </w:p>
    <w:p>
      <w:pPr>
        <w:spacing w:after="0" w:line="117" w:lineRule="exact"/>
        <w:rPr>
          <w:rFonts w:ascii="Arial" w:cs="Arial" w:eastAsia="Arial" w:hAnsi="Arial"/>
          <w:sz w:val="18"/>
          <w:szCs w:val="18"/>
          <w:color w:val="auto"/>
        </w:rPr>
      </w:pPr>
    </w:p>
    <w:p>
      <w:pPr>
        <w:ind w:left="360" w:right="200" w:hanging="226"/>
        <w:spacing w:after="0" w:line="239"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other technology companies engaged in digital customer acquisition, as well as buyers that attract consumers through their own customer acquisition strategies, third-party online platforms or other traditional methods of distribution;</w:t>
      </w:r>
    </w:p>
    <w:p>
      <w:pPr>
        <w:spacing w:after="0" w:line="114" w:lineRule="exact"/>
        <w:rPr>
          <w:rFonts w:ascii="Arial" w:cs="Arial" w:eastAsia="Arial" w:hAnsi="Arial"/>
          <w:sz w:val="18"/>
          <w:szCs w:val="18"/>
          <w:color w:val="auto"/>
        </w:rPr>
      </w:pPr>
    </w:p>
    <w:p>
      <w:pPr>
        <w:ind w:left="360" w:hanging="22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integrate, and retain qualified employees;</w:t>
      </w:r>
    </w:p>
    <w:p>
      <w:pPr>
        <w:spacing w:after="0" w:line="117" w:lineRule="exact"/>
        <w:rPr>
          <w:rFonts w:ascii="Arial" w:cs="Arial" w:eastAsia="Arial" w:hAnsi="Arial"/>
          <w:sz w:val="18"/>
          <w:szCs w:val="18"/>
          <w:color w:val="auto"/>
        </w:rPr>
      </w:pPr>
    </w:p>
    <w:p>
      <w:pPr>
        <w:ind w:left="360" w:hanging="22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online DTC spend by our buyers;</w:t>
      </w:r>
    </w:p>
    <w:p>
      <w:pPr>
        <w:spacing w:after="0" w:line="117" w:lineRule="exact"/>
        <w:rPr>
          <w:rFonts w:ascii="Arial" w:cs="Arial" w:eastAsia="Arial" w:hAnsi="Arial"/>
          <w:sz w:val="18"/>
          <w:szCs w:val="18"/>
          <w:color w:val="auto"/>
        </w:rPr>
      </w:pPr>
    </w:p>
    <w:p>
      <w:pPr>
        <w:ind w:left="360" w:hanging="22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our supply partners for the generation of a majority of our Consumer Referrals;</w:t>
      </w:r>
    </w:p>
    <w:p>
      <w:pPr>
        <w:spacing w:after="0" w:line="117" w:lineRule="exact"/>
        <w:rPr>
          <w:rFonts w:ascii="Arial" w:cs="Arial" w:eastAsia="Arial" w:hAnsi="Arial"/>
          <w:sz w:val="18"/>
          <w:szCs w:val="18"/>
          <w:color w:val="auto"/>
        </w:rPr>
      </w:pPr>
    </w:p>
    <w:p>
      <w:pPr>
        <w:ind w:left="360" w:right="660" w:hanging="226"/>
        <w:spacing w:after="0" w:line="239"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internet search companies to direct a significant portion of visitors to our sellers’ websites and our proprietary websites;</w:t>
      </w:r>
    </w:p>
    <w:p>
      <w:pPr>
        <w:spacing w:after="0" w:line="114" w:lineRule="exact"/>
        <w:rPr>
          <w:rFonts w:ascii="Arial" w:cs="Arial" w:eastAsia="Arial" w:hAnsi="Arial"/>
          <w:sz w:val="18"/>
          <w:szCs w:val="18"/>
          <w:color w:val="auto"/>
        </w:rPr>
      </w:pPr>
    </w:p>
    <w:p>
      <w:pPr>
        <w:ind w:left="360" w:hanging="22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or failures of our technological infrastructure and platform; and</w:t>
      </w:r>
    </w:p>
    <w:p>
      <w:pPr>
        <w:spacing w:after="0" w:line="117" w:lineRule="exact"/>
        <w:rPr>
          <w:rFonts w:ascii="Arial" w:cs="Arial" w:eastAsia="Arial" w:hAnsi="Arial"/>
          <w:sz w:val="18"/>
          <w:szCs w:val="18"/>
          <w:color w:val="auto"/>
        </w:rPr>
      </w:pPr>
    </w:p>
    <w:p>
      <w:pPr>
        <w:ind w:left="360" w:hanging="22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intellectual property and technology.</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140"/>
        <w:spacing w:after="0" w:line="236" w:lineRule="auto"/>
        <w:rPr>
          <w:sz w:val="20"/>
          <w:szCs w:val="20"/>
          <w:color w:val="auto"/>
        </w:rPr>
      </w:pPr>
      <w:r>
        <w:rPr>
          <w:rFonts w:ascii="Arial" w:cs="Arial" w:eastAsia="Arial" w:hAnsi="Arial"/>
          <w:sz w:val="18"/>
          <w:szCs w:val="18"/>
          <w:color w:val="auto"/>
        </w:rPr>
        <w:t xml:space="preserve">We were incorporated in Delaware on July 9, 2020 under the name MediaAlpha, Inc. to serve as a holding company for our business subsidiaries, including QL Holdings LLC and our principal operating subsidiary QuoteLab, LLC, both of which were organized in Delaware on March 7, 2014. Our principal executive offices are located at 700 South Flower Street, Suite 640, Los Angeles, CA 90017, and our telephone number at that address is </w:t>
      </w:r>
      <w:r>
        <w:rPr>
          <w:rFonts w:ascii="Arial" w:cs="Arial" w:eastAsia="Arial" w:hAnsi="Arial"/>
          <w:sz w:val="18"/>
          <w:szCs w:val="18"/>
          <w:b w:val="1"/>
          <w:bCs w:val="1"/>
          <w:color w:val="auto"/>
        </w:rPr>
        <w:t>(213) 316-6256</w:t>
      </w:r>
      <w:r>
        <w:rPr>
          <w:rFonts w:ascii="Arial" w:cs="Arial" w:eastAsia="Arial" w:hAnsi="Arial"/>
          <w:sz w:val="18"/>
          <w:szCs w:val="18"/>
          <w:color w:val="auto"/>
        </w:rPr>
        <w:t>. Our website address is www.mediaalpha.com. Information contained on our website is not incorporated by reference into this prospectus, and you should not consider information contained on our website to be part of this prospectus or in deciding whether to purchase shares of our Class A common stock.</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4" w:lineRule="exact"/>
        <w:rPr>
          <w:sz w:val="20"/>
          <w:szCs w:val="20"/>
          <w:color w:val="auto"/>
        </w:rPr>
      </w:pPr>
    </w:p>
    <w:p>
      <w:pPr>
        <w:ind w:left="140" w:right="300"/>
        <w:spacing w:after="0" w:line="238"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113" w:lineRule="exact"/>
        <w:rPr>
          <w:sz w:val="20"/>
          <w:szCs w:val="20"/>
          <w:color w:val="auto"/>
        </w:rPr>
      </w:pPr>
    </w:p>
    <w:p>
      <w:pPr>
        <w:ind w:left="360" w:right="600" w:hanging="226"/>
        <w:spacing w:after="0" w:line="238"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13" w:lineRule="exact"/>
        <w:rPr>
          <w:rFonts w:ascii="Arial" w:cs="Arial" w:eastAsia="Arial" w:hAnsi="Arial"/>
          <w:sz w:val="18"/>
          <w:szCs w:val="18"/>
          <w:color w:val="auto"/>
        </w:rPr>
      </w:pPr>
    </w:p>
    <w:p>
      <w:pPr>
        <w:ind w:left="360" w:right="20" w:hanging="226"/>
        <w:spacing w:after="0" w:line="239"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Exemption from the requirement of the Public Company Accounting Oversight Board regarding the communication of critical audit matters in our auditor’s report on the financial statements;</w:t>
      </w:r>
    </w:p>
    <w:p>
      <w:pPr>
        <w:spacing w:after="0" w:line="114" w:lineRule="exact"/>
        <w:rPr>
          <w:rFonts w:ascii="Arial" w:cs="Arial" w:eastAsia="Arial" w:hAnsi="Arial"/>
          <w:sz w:val="18"/>
          <w:szCs w:val="18"/>
          <w:color w:val="auto"/>
        </w:rPr>
      </w:pPr>
    </w:p>
    <w:p>
      <w:pPr>
        <w:ind w:left="360" w:hanging="226"/>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17" w:lineRule="exact"/>
        <w:rPr>
          <w:rFonts w:ascii="Arial" w:cs="Arial" w:eastAsia="Arial" w:hAnsi="Arial"/>
          <w:sz w:val="18"/>
          <w:szCs w:val="18"/>
          <w:color w:val="auto"/>
        </w:rPr>
      </w:pPr>
    </w:p>
    <w:p>
      <w:pPr>
        <w:ind w:left="360" w:hanging="226"/>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Exemption from the requirements to hold non-binding advisory votes on executive compensation and golden parachute payments; and</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32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3098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3098800"/>
                    </a:xfrm>
                    <a:prstGeom prst="rect">
                      <a:avLst/>
                    </a:prstGeom>
                    <a:noFill/>
                  </pic:spPr>
                </pic:pic>
              </a:graphicData>
            </a:graphic>
          </wp:anchor>
        </w:drawing>
      </w:r>
    </w:p>
    <w:p>
      <w:pPr>
        <w:spacing w:after="0" w:line="151" w:lineRule="exact"/>
        <w:rPr>
          <w:sz w:val="20"/>
          <w:szCs w:val="20"/>
          <w:color w:val="auto"/>
        </w:rPr>
      </w:pPr>
    </w:p>
    <w:p>
      <w:pPr>
        <w:ind w:left="360" w:right="80" w:hanging="226"/>
        <w:spacing w:after="0" w:line="239"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Exemption from the requirement to obtain an attestation report from our auditors on the effectiveness of our internal control over financial reporting.</w:t>
      </w:r>
    </w:p>
    <w:p>
      <w:pPr>
        <w:spacing w:after="0" w:line="101" w:lineRule="exact"/>
        <w:rPr>
          <w:sz w:val="20"/>
          <w:szCs w:val="20"/>
          <w:color w:val="auto"/>
        </w:rPr>
      </w:pPr>
    </w:p>
    <w:p>
      <w:pPr>
        <w:ind w:left="140"/>
        <w:spacing w:after="0" w:line="236" w:lineRule="auto"/>
        <w:rPr>
          <w:sz w:val="20"/>
          <w:szCs w:val="20"/>
          <w:color w:val="auto"/>
        </w:rPr>
      </w:pPr>
      <w:r>
        <w:rPr>
          <w:rFonts w:ascii="Arial" w:cs="Arial" w:eastAsia="Arial" w:hAnsi="Arial"/>
          <w:sz w:val="18"/>
          <w:szCs w:val="18"/>
          <w:color w:val="auto"/>
        </w:rPr>
        <w:t>We may take advantage of these exemptions up until the last day of the fiscal year following the fifth anniversary of the completion of this offering or such earlier time that we are no longer an emerging growth company. We would cease to be an emerging growth company earlier if we have more than $1.07 billion in annual revenue, we have more than $700.0 million in market value of our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Accordingly, the information contained herein may be different than the information you receive from other public companies in which you hold stock.</w:t>
      </w:r>
    </w:p>
    <w:p>
      <w:pPr>
        <w:spacing w:after="0" w:line="101" w:lineRule="exact"/>
        <w:rPr>
          <w:sz w:val="20"/>
          <w:szCs w:val="20"/>
          <w:color w:val="auto"/>
        </w:rPr>
      </w:pPr>
    </w:p>
    <w:p>
      <w:pPr>
        <w:ind w:left="140"/>
        <w:spacing w:after="0" w:line="236" w:lineRule="auto"/>
        <w:rPr>
          <w:sz w:val="20"/>
          <w:szCs w:val="20"/>
          <w:color w:val="auto"/>
        </w:rPr>
      </w:pPr>
      <w:r>
        <w:rPr>
          <w:rFonts w:ascii="Arial" w:cs="Arial" w:eastAsia="Arial" w:hAnsi="Arial"/>
          <w:sz w:val="18"/>
          <w:szCs w:val="18"/>
          <w:color w:val="auto"/>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(for example,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at the same time that they become applicable to other public companies that are not emerging growth companies.</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Controlled company</w:t>
      </w:r>
    </w:p>
    <w:p>
      <w:pPr>
        <w:spacing w:after="0" w:line="134" w:lineRule="exact"/>
        <w:rPr>
          <w:sz w:val="20"/>
          <w:szCs w:val="20"/>
          <w:color w:val="auto"/>
        </w:rPr>
      </w:pPr>
    </w:p>
    <w:p>
      <w:pPr>
        <w:ind w:left="140" w:right="120"/>
        <w:spacing w:after="0" w:line="272" w:lineRule="auto"/>
        <w:rPr>
          <w:sz w:val="20"/>
          <w:szCs w:val="20"/>
          <w:color w:val="auto"/>
        </w:rPr>
      </w:pPr>
      <w:r>
        <w:rPr>
          <w:rFonts w:ascii="Arial" w:cs="Arial" w:eastAsia="Arial" w:hAnsi="Arial"/>
          <w:sz w:val="16"/>
          <w:szCs w:val="16"/>
          <w:color w:val="auto"/>
        </w:rPr>
        <w:t>We are a “controlled company” under the NYSE rules. Under these rules, a “controlled company” may elect not to comply with certain corporate governance requirements, including the requirement to have a board that is composed of a majority of independent directors. We intend to take advantage of these exemptions for so long as we continue to qualify as a “controlled company.” These exemptions do not modify the independence requirements for our audit committee, and we intend to comply with the applicable requirements of the Sarbanes-Oxley Act and rules with respect to our audit committee within the applicable time frame. See “Management—Controlled company.”</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-229235</wp:posOffset>
            </wp:positionV>
            <wp:extent cx="6998970" cy="395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3956050"/>
                    </a:xfrm>
                    <a:prstGeom prst="rect">
                      <a:avLst/>
                    </a:prstGeom>
                    <a:noFill/>
                  </pic:spPr>
                </pic:pic>
              </a:graphicData>
            </a:graphic>
          </wp:anchor>
        </w:drawing>
      </w:r>
    </w:p>
    <w:p>
      <w:pPr>
        <w:spacing w:after="0" w:line="119" w:lineRule="exact"/>
        <w:rPr>
          <w:sz w:val="20"/>
          <w:szCs w:val="20"/>
          <w:color w:val="auto"/>
        </w:rPr>
      </w:pPr>
    </w:p>
    <w:p>
      <w:pPr>
        <w:ind w:left="140" w:right="360"/>
        <w:spacing w:after="0" w:line="247"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Class A common stock. You should carefully read this entire prospectus before investing in our Class A common stock, including “Risk factors” and our consolidated financial statements.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Class A common stock offered by</w:t>
            </w:r>
          </w:p>
        </w:tc>
        <w:tc>
          <w:tcPr>
            <w:tcW w:w="1540" w:type="dxa"/>
            <w:vAlign w:val="bottom"/>
          </w:tcPr>
          <w:p>
            <w:pPr>
              <w:ind w:left="760"/>
              <w:spacing w:after="0"/>
              <w:rPr>
                <w:sz w:val="20"/>
                <w:szCs w:val="20"/>
                <w:color w:val="auto"/>
              </w:rPr>
            </w:pPr>
            <w:r>
              <w:rPr>
                <w:rFonts w:ascii="Arial" w:cs="Arial" w:eastAsia="Arial" w:hAnsi="Arial"/>
                <w:sz w:val="18"/>
                <w:szCs w:val="18"/>
                <w:color w:val="auto"/>
                <w:w w:val="93"/>
              </w:rPr>
              <w:t>shares (or</w:t>
            </w:r>
          </w:p>
        </w:tc>
        <w:tc>
          <w:tcPr>
            <w:tcW w:w="520" w:type="dxa"/>
            <w:vAlign w:val="bottom"/>
          </w:tcPr>
          <w:p>
            <w:pPr>
              <w:spacing w:after="0"/>
              <w:rPr>
                <w:sz w:val="17"/>
                <w:szCs w:val="17"/>
                <w:color w:val="auto"/>
              </w:rPr>
            </w:pPr>
          </w:p>
        </w:tc>
        <w:tc>
          <w:tcPr>
            <w:tcW w:w="6000" w:type="dxa"/>
            <w:vAlign w:val="bottom"/>
            <w:gridSpan w:val="4"/>
          </w:tcPr>
          <w:p>
            <w:pPr>
              <w:jc w:val="center"/>
              <w:ind w:right="332"/>
              <w:spacing w:after="0"/>
              <w:rPr>
                <w:sz w:val="20"/>
                <w:szCs w:val="20"/>
                <w:color w:val="auto"/>
              </w:rPr>
            </w:pPr>
            <w:r>
              <w:rPr>
                <w:rFonts w:ascii="Arial" w:cs="Arial" w:eastAsia="Arial" w:hAnsi="Arial"/>
                <w:sz w:val="18"/>
                <w:szCs w:val="18"/>
                <w:color w:val="auto"/>
                <w:w w:val="97"/>
              </w:rPr>
              <w:t>shares if the underwriters exercise in full their option to purchase an</w:t>
            </w:r>
          </w:p>
        </w:tc>
      </w:tr>
      <w:tr>
        <w:trPr>
          <w:trHeight w:val="23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the selling stockholders</w:t>
            </w:r>
          </w:p>
        </w:tc>
        <w:tc>
          <w:tcPr>
            <w:tcW w:w="1540" w:type="dxa"/>
            <w:vAlign w:val="bottom"/>
          </w:tcPr>
          <w:p>
            <w:pPr>
              <w:ind w:left="120"/>
              <w:spacing w:after="0"/>
              <w:rPr>
                <w:sz w:val="20"/>
                <w:szCs w:val="20"/>
                <w:color w:val="auto"/>
              </w:rPr>
            </w:pPr>
            <w:r>
              <w:rPr>
                <w:rFonts w:ascii="Arial" w:cs="Arial" w:eastAsia="Arial" w:hAnsi="Arial"/>
                <w:sz w:val="18"/>
                <w:szCs w:val="18"/>
                <w:color w:val="auto"/>
              </w:rPr>
              <w:t>additional</w:t>
            </w:r>
          </w:p>
        </w:tc>
        <w:tc>
          <w:tcPr>
            <w:tcW w:w="6520" w:type="dxa"/>
            <w:vAlign w:val="bottom"/>
            <w:gridSpan w:val="5"/>
          </w:tcPr>
          <w:p>
            <w:pPr>
              <w:ind w:left="20"/>
              <w:spacing w:after="0"/>
              <w:rPr>
                <w:sz w:val="20"/>
                <w:szCs w:val="20"/>
                <w:color w:val="auto"/>
              </w:rPr>
            </w:pPr>
            <w:r>
              <w:rPr>
                <w:rFonts w:ascii="Arial" w:cs="Arial" w:eastAsia="Arial" w:hAnsi="Arial"/>
                <w:sz w:val="18"/>
                <w:szCs w:val="18"/>
                <w:color w:val="auto"/>
              </w:rPr>
              <w:t>shares of Class A common stock from the selling stockholders).</w:t>
            </w:r>
          </w:p>
        </w:tc>
      </w:tr>
      <w:tr>
        <w:trPr>
          <w:trHeight w:val="294"/>
        </w:trPr>
        <w:tc>
          <w:tcPr>
            <w:tcW w:w="790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Underwriters’ option to purchase additional shares of Class A common stock from the selling</w:t>
            </w: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stockholders</w:t>
            </w:r>
          </w:p>
        </w:tc>
        <w:tc>
          <w:tcPr>
            <w:tcW w:w="1540" w:type="dxa"/>
            <w:vAlign w:val="bottom"/>
          </w:tcPr>
          <w:p>
            <w:pPr>
              <w:ind w:left="760"/>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0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Class A common stock to be</w:t>
            </w:r>
          </w:p>
        </w:tc>
        <w:tc>
          <w:tcPr>
            <w:tcW w:w="1540" w:type="dxa"/>
            <w:vAlign w:val="bottom"/>
          </w:tcPr>
          <w:p>
            <w:pPr>
              <w:ind w:left="760"/>
              <w:spacing w:after="0"/>
              <w:rPr>
                <w:sz w:val="20"/>
                <w:szCs w:val="20"/>
                <w:color w:val="auto"/>
              </w:rPr>
            </w:pPr>
            <w:r>
              <w:rPr>
                <w:rFonts w:ascii="Arial" w:cs="Arial" w:eastAsia="Arial" w:hAnsi="Arial"/>
                <w:sz w:val="18"/>
                <w:szCs w:val="18"/>
                <w:color w:val="auto"/>
                <w:w w:val="93"/>
              </w:rPr>
              <w:t>shares (or</w:t>
            </w:r>
          </w:p>
        </w:tc>
        <w:tc>
          <w:tcPr>
            <w:tcW w:w="520" w:type="dxa"/>
            <w:vAlign w:val="bottom"/>
          </w:tcPr>
          <w:p>
            <w:pPr>
              <w:spacing w:after="0"/>
              <w:rPr>
                <w:sz w:val="24"/>
                <w:szCs w:val="24"/>
                <w:color w:val="auto"/>
              </w:rPr>
            </w:pPr>
          </w:p>
        </w:tc>
        <w:tc>
          <w:tcPr>
            <w:tcW w:w="6000" w:type="dxa"/>
            <w:vAlign w:val="bottom"/>
            <w:gridSpan w:val="4"/>
          </w:tcPr>
          <w:p>
            <w:pPr>
              <w:jc w:val="center"/>
              <w:ind w:right="332"/>
              <w:spacing w:after="0"/>
              <w:rPr>
                <w:sz w:val="20"/>
                <w:szCs w:val="20"/>
                <w:color w:val="auto"/>
              </w:rPr>
            </w:pPr>
            <w:r>
              <w:rPr>
                <w:rFonts w:ascii="Arial" w:cs="Arial" w:eastAsia="Arial" w:hAnsi="Arial"/>
                <w:sz w:val="18"/>
                <w:szCs w:val="18"/>
                <w:color w:val="auto"/>
                <w:w w:val="97"/>
              </w:rPr>
              <w:t>shares if the underwriters exercise in full their option to purchase an</w:t>
            </w:r>
          </w:p>
        </w:tc>
      </w:tr>
      <w:tr>
        <w:trPr>
          <w:trHeight w:val="23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outstanding after this offering</w:t>
            </w:r>
          </w:p>
        </w:tc>
        <w:tc>
          <w:tcPr>
            <w:tcW w:w="1540" w:type="dxa"/>
            <w:vAlign w:val="bottom"/>
          </w:tcPr>
          <w:p>
            <w:pPr>
              <w:ind w:left="120"/>
              <w:spacing w:after="0"/>
              <w:rPr>
                <w:sz w:val="20"/>
                <w:szCs w:val="20"/>
                <w:color w:val="auto"/>
              </w:rPr>
            </w:pPr>
            <w:r>
              <w:rPr>
                <w:rFonts w:ascii="Arial" w:cs="Arial" w:eastAsia="Arial" w:hAnsi="Arial"/>
                <w:sz w:val="18"/>
                <w:szCs w:val="18"/>
                <w:color w:val="auto"/>
              </w:rPr>
              <w:t>additional</w:t>
            </w:r>
          </w:p>
        </w:tc>
        <w:tc>
          <w:tcPr>
            <w:tcW w:w="6520" w:type="dxa"/>
            <w:vAlign w:val="bottom"/>
            <w:gridSpan w:val="5"/>
          </w:tcPr>
          <w:p>
            <w:pPr>
              <w:ind w:left="20"/>
              <w:spacing w:after="0"/>
              <w:rPr>
                <w:sz w:val="20"/>
                <w:szCs w:val="20"/>
                <w:color w:val="auto"/>
              </w:rPr>
            </w:pPr>
            <w:r>
              <w:rPr>
                <w:rFonts w:ascii="Arial" w:cs="Arial" w:eastAsia="Arial" w:hAnsi="Arial"/>
                <w:sz w:val="18"/>
                <w:szCs w:val="18"/>
                <w:color w:val="auto"/>
              </w:rPr>
              <w:t>shares of Class A common stock from the selling stockholders).</w:t>
            </w:r>
          </w:p>
        </w:tc>
      </w:tr>
      <w:tr>
        <w:trPr>
          <w:trHeight w:val="30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Class B common stock to be</w:t>
            </w:r>
          </w:p>
        </w:tc>
        <w:tc>
          <w:tcPr>
            <w:tcW w:w="1540" w:type="dxa"/>
            <w:vAlign w:val="bottom"/>
          </w:tcPr>
          <w:p>
            <w:pPr>
              <w:ind w:left="760"/>
              <w:spacing w:after="0"/>
              <w:rPr>
                <w:sz w:val="20"/>
                <w:szCs w:val="20"/>
                <w:color w:val="auto"/>
              </w:rPr>
            </w:pPr>
            <w:r>
              <w:rPr>
                <w:rFonts w:ascii="Arial" w:cs="Arial" w:eastAsia="Arial" w:hAnsi="Arial"/>
                <w:sz w:val="18"/>
                <w:szCs w:val="18"/>
                <w:color w:val="auto"/>
                <w:w w:val="93"/>
              </w:rPr>
              <w:t>shares (or</w:t>
            </w:r>
          </w:p>
        </w:tc>
        <w:tc>
          <w:tcPr>
            <w:tcW w:w="520" w:type="dxa"/>
            <w:vAlign w:val="bottom"/>
          </w:tcPr>
          <w:p>
            <w:pPr>
              <w:spacing w:after="0"/>
              <w:rPr>
                <w:sz w:val="24"/>
                <w:szCs w:val="24"/>
                <w:color w:val="auto"/>
              </w:rPr>
            </w:pPr>
          </w:p>
        </w:tc>
        <w:tc>
          <w:tcPr>
            <w:tcW w:w="6000" w:type="dxa"/>
            <w:vAlign w:val="bottom"/>
            <w:gridSpan w:val="4"/>
          </w:tcPr>
          <w:p>
            <w:pPr>
              <w:jc w:val="center"/>
              <w:ind w:right="332"/>
              <w:spacing w:after="0"/>
              <w:rPr>
                <w:sz w:val="20"/>
                <w:szCs w:val="20"/>
                <w:color w:val="auto"/>
              </w:rPr>
            </w:pPr>
            <w:r>
              <w:rPr>
                <w:rFonts w:ascii="Arial" w:cs="Arial" w:eastAsia="Arial" w:hAnsi="Arial"/>
                <w:sz w:val="18"/>
                <w:szCs w:val="18"/>
                <w:color w:val="auto"/>
                <w:w w:val="97"/>
              </w:rPr>
              <w:t>shares if the underwriters exercise in full their option to purchase an</w:t>
            </w:r>
          </w:p>
        </w:tc>
      </w:tr>
      <w:tr>
        <w:trPr>
          <w:trHeight w:val="224"/>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outstanding after this offering</w:t>
            </w:r>
          </w:p>
        </w:tc>
        <w:tc>
          <w:tcPr>
            <w:tcW w:w="1540" w:type="dxa"/>
            <w:vAlign w:val="bottom"/>
          </w:tcPr>
          <w:p>
            <w:pPr>
              <w:ind w:left="120"/>
              <w:spacing w:after="0"/>
              <w:rPr>
                <w:sz w:val="20"/>
                <w:szCs w:val="20"/>
                <w:color w:val="auto"/>
              </w:rPr>
            </w:pPr>
            <w:r>
              <w:rPr>
                <w:rFonts w:ascii="Arial" w:cs="Arial" w:eastAsia="Arial" w:hAnsi="Arial"/>
                <w:sz w:val="18"/>
                <w:szCs w:val="18"/>
                <w:color w:val="auto"/>
              </w:rPr>
              <w:t>additional</w:t>
            </w:r>
          </w:p>
        </w:tc>
        <w:tc>
          <w:tcPr>
            <w:tcW w:w="6520" w:type="dxa"/>
            <w:vAlign w:val="bottom"/>
            <w:gridSpan w:val="5"/>
          </w:tcPr>
          <w:p>
            <w:pPr>
              <w:ind w:left="20"/>
              <w:spacing w:after="0"/>
              <w:rPr>
                <w:sz w:val="20"/>
                <w:szCs w:val="20"/>
                <w:color w:val="auto"/>
              </w:rPr>
            </w:pPr>
            <w:r>
              <w:rPr>
                <w:rFonts w:ascii="Arial" w:cs="Arial" w:eastAsia="Arial" w:hAnsi="Arial"/>
                <w:sz w:val="18"/>
                <w:szCs w:val="18"/>
                <w:color w:val="auto"/>
                <w:w w:val="98"/>
              </w:rPr>
              <w:t>shares of Class A common stock from the selling stockholders). In connection with</w:t>
            </w:r>
          </w:p>
        </w:tc>
      </w:tr>
      <w:tr>
        <w:trPr>
          <w:trHeight w:val="203"/>
        </w:trPr>
        <w:tc>
          <w:tcPr>
            <w:tcW w:w="2960" w:type="dxa"/>
            <w:vAlign w:val="bottom"/>
          </w:tcPr>
          <w:p>
            <w:pPr>
              <w:spacing w:after="0"/>
              <w:rPr>
                <w:sz w:val="17"/>
                <w:szCs w:val="17"/>
                <w:color w:val="auto"/>
              </w:rPr>
            </w:pPr>
          </w:p>
        </w:tc>
        <w:tc>
          <w:tcPr>
            <w:tcW w:w="494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this offering, certain selling stockholders will exchange</w:t>
            </w:r>
          </w:p>
        </w:tc>
        <w:tc>
          <w:tcPr>
            <w:tcW w:w="3120" w:type="dxa"/>
            <w:vAlign w:val="bottom"/>
            <w:gridSpan w:val="2"/>
          </w:tcPr>
          <w:p>
            <w:pPr>
              <w:jc w:val="right"/>
              <w:ind w:right="672"/>
              <w:spacing w:after="0" w:line="202" w:lineRule="exact"/>
              <w:rPr>
                <w:sz w:val="20"/>
                <w:szCs w:val="20"/>
                <w:color w:val="auto"/>
              </w:rPr>
            </w:pPr>
            <w:r>
              <w:rPr>
                <w:rFonts w:ascii="Arial" w:cs="Arial" w:eastAsia="Arial" w:hAnsi="Arial"/>
                <w:sz w:val="18"/>
                <w:szCs w:val="18"/>
                <w:color w:val="auto"/>
                <w:w w:val="99"/>
              </w:rPr>
              <w:t>Class B-1 units, together with</w:t>
            </w:r>
          </w:p>
        </w:tc>
      </w:tr>
      <w:tr>
        <w:trPr>
          <w:trHeight w:val="203"/>
        </w:trPr>
        <w:tc>
          <w:tcPr>
            <w:tcW w:w="2960" w:type="dxa"/>
            <w:vAlign w:val="bottom"/>
          </w:tcPr>
          <w:p>
            <w:pPr>
              <w:spacing w:after="0"/>
              <w:rPr>
                <w:sz w:val="17"/>
                <w:szCs w:val="17"/>
                <w:color w:val="auto"/>
              </w:rPr>
            </w:pPr>
          </w:p>
        </w:tc>
        <w:tc>
          <w:tcPr>
            <w:tcW w:w="3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shares of our Class B common stock, for</w:t>
            </w:r>
          </w:p>
        </w:tc>
        <w:tc>
          <w:tcPr>
            <w:tcW w:w="4440" w:type="dxa"/>
            <w:vAlign w:val="bottom"/>
            <w:gridSpan w:val="3"/>
          </w:tcPr>
          <w:p>
            <w:pPr>
              <w:jc w:val="right"/>
              <w:ind w:right="72"/>
              <w:spacing w:after="0" w:line="202" w:lineRule="exact"/>
              <w:rPr>
                <w:sz w:val="20"/>
                <w:szCs w:val="20"/>
                <w:color w:val="auto"/>
              </w:rPr>
            </w:pPr>
            <w:r>
              <w:rPr>
                <w:rFonts w:ascii="Arial" w:cs="Arial" w:eastAsia="Arial" w:hAnsi="Arial"/>
                <w:sz w:val="18"/>
                <w:szCs w:val="18"/>
                <w:color w:val="auto"/>
              </w:rPr>
              <w:t>shares of our Class A common stock, as described</w:t>
            </w:r>
          </w:p>
        </w:tc>
      </w:tr>
      <w:tr>
        <w:trPr>
          <w:trHeight w:val="203"/>
        </w:trPr>
        <w:tc>
          <w:tcPr>
            <w:tcW w:w="2960" w:type="dxa"/>
            <w:vAlign w:val="bottom"/>
          </w:tcPr>
          <w:p>
            <w:pPr>
              <w:spacing w:after="0"/>
              <w:rPr>
                <w:sz w:val="17"/>
                <w:szCs w:val="17"/>
                <w:color w:val="auto"/>
              </w:rPr>
            </w:pPr>
          </w:p>
        </w:tc>
        <w:tc>
          <w:tcPr>
            <w:tcW w:w="8060" w:type="dxa"/>
            <w:vAlign w:val="bottom"/>
            <w:gridSpan w:val="6"/>
          </w:tcPr>
          <w:p>
            <w:pPr>
              <w:ind w:left="120"/>
              <w:spacing w:after="0" w:line="202" w:lineRule="exact"/>
              <w:rPr>
                <w:sz w:val="20"/>
                <w:szCs w:val="20"/>
                <w:color w:val="auto"/>
              </w:rPr>
            </w:pPr>
            <w:r>
              <w:rPr>
                <w:rFonts w:ascii="Arial" w:cs="Arial" w:eastAsia="Arial" w:hAnsi="Arial"/>
                <w:sz w:val="18"/>
                <w:szCs w:val="18"/>
                <w:color w:val="auto"/>
                <w:w w:val="97"/>
              </w:rPr>
              <w:t>under “Organizational structure—Fourth amended and restated limited liability company agreement of</w:t>
            </w:r>
          </w:p>
        </w:tc>
      </w:tr>
      <w:tr>
        <w:trPr>
          <w:trHeight w:val="211"/>
        </w:trPr>
        <w:tc>
          <w:tcPr>
            <w:tcW w:w="2960" w:type="dxa"/>
            <w:vAlign w:val="bottom"/>
          </w:tcPr>
          <w:p>
            <w:pPr>
              <w:spacing w:after="0"/>
              <w:rPr>
                <w:sz w:val="18"/>
                <w:szCs w:val="18"/>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QL Holdings LLC.”</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16"/>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Economic interests</w:t>
            </w:r>
          </w:p>
        </w:tc>
        <w:tc>
          <w:tcPr>
            <w:tcW w:w="8060" w:type="dxa"/>
            <w:vAlign w:val="bottom"/>
            <w:gridSpan w:val="6"/>
          </w:tcPr>
          <w:p>
            <w:pPr>
              <w:ind w:left="120"/>
              <w:spacing w:after="0"/>
              <w:rPr>
                <w:sz w:val="20"/>
                <w:szCs w:val="20"/>
                <w:color w:val="auto"/>
              </w:rPr>
            </w:pPr>
            <w:r>
              <w:rPr>
                <w:rFonts w:ascii="Arial" w:cs="Arial" w:eastAsia="Arial" w:hAnsi="Arial"/>
                <w:sz w:val="18"/>
                <w:szCs w:val="18"/>
                <w:color w:val="auto"/>
                <w:w w:val="98"/>
              </w:rPr>
              <w:t>After giving effect to this offering, the holders of our Class A common stock will collectively own 100%</w:t>
            </w:r>
          </w:p>
        </w:tc>
      </w:tr>
      <w:tr>
        <w:trPr>
          <w:trHeight w:val="203"/>
        </w:trPr>
        <w:tc>
          <w:tcPr>
            <w:tcW w:w="2960" w:type="dxa"/>
            <w:vAlign w:val="bottom"/>
          </w:tcPr>
          <w:p>
            <w:pPr>
              <w:spacing w:after="0"/>
              <w:rPr>
                <w:sz w:val="17"/>
                <w:szCs w:val="17"/>
                <w:color w:val="auto"/>
              </w:rPr>
            </w:pPr>
          </w:p>
        </w:tc>
        <w:tc>
          <w:tcPr>
            <w:tcW w:w="80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of the economic interests in MediaAlpha, Inc. White Mountains and the other holders of our Class A</w:t>
            </w:r>
          </w:p>
        </w:tc>
      </w:tr>
      <w:tr>
        <w:trPr>
          <w:trHeight w:val="203"/>
        </w:trPr>
        <w:tc>
          <w:tcPr>
            <w:tcW w:w="2960" w:type="dxa"/>
            <w:vAlign w:val="bottom"/>
          </w:tcPr>
          <w:p>
            <w:pPr>
              <w:spacing w:after="0"/>
              <w:rPr>
                <w:sz w:val="17"/>
                <w:szCs w:val="17"/>
                <w:color w:val="auto"/>
              </w:rPr>
            </w:pPr>
          </w:p>
        </w:tc>
        <w:tc>
          <w:tcPr>
            <w:tcW w:w="494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common stock (“public stockholders”) will indirectly own</w:t>
            </w: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 and</w:t>
            </w:r>
          </w:p>
        </w:tc>
        <w:tc>
          <w:tcPr>
            <w:tcW w:w="23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 respectively, of the</w:t>
            </w:r>
          </w:p>
        </w:tc>
      </w:tr>
      <w:tr>
        <w:trPr>
          <w:trHeight w:val="203"/>
        </w:trPr>
        <w:tc>
          <w:tcPr>
            <w:tcW w:w="2960" w:type="dxa"/>
            <w:vAlign w:val="bottom"/>
          </w:tcPr>
          <w:p>
            <w:pPr>
              <w:spacing w:after="0"/>
              <w:rPr>
                <w:sz w:val="17"/>
                <w:szCs w:val="17"/>
                <w:color w:val="auto"/>
              </w:rPr>
            </w:pPr>
          </w:p>
        </w:tc>
        <w:tc>
          <w:tcPr>
            <w:tcW w:w="80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economic interests in QL Holdings LLC through MediaAlpha, Inc. and Intermediate Holdco (or</w:t>
            </w:r>
          </w:p>
        </w:tc>
      </w:tr>
      <w:tr>
        <w:trPr>
          <w:trHeight w:val="203"/>
        </w:trPr>
        <w:tc>
          <w:tcPr>
            <w:tcW w:w="2960" w:type="dxa"/>
            <w:vAlign w:val="bottom"/>
          </w:tcPr>
          <w:p>
            <w:pPr>
              <w:spacing w:after="0"/>
              <w:rPr>
                <w:sz w:val="17"/>
                <w:szCs w:val="17"/>
                <w:color w:val="auto"/>
              </w:rPr>
            </w:pPr>
          </w:p>
        </w:tc>
        <w:tc>
          <w:tcPr>
            <w:tcW w:w="1540" w:type="dxa"/>
            <w:vAlign w:val="bottom"/>
          </w:tcPr>
          <w:p>
            <w:pPr>
              <w:ind w:left="700"/>
              <w:spacing w:after="0" w:line="202" w:lineRule="exact"/>
              <w:rPr>
                <w:sz w:val="20"/>
                <w:szCs w:val="20"/>
                <w:color w:val="auto"/>
              </w:rPr>
            </w:pPr>
            <w:r>
              <w:rPr>
                <w:rFonts w:ascii="Arial" w:cs="Arial" w:eastAsia="Arial" w:hAnsi="Arial"/>
                <w:sz w:val="18"/>
                <w:szCs w:val="18"/>
                <w:color w:val="auto"/>
              </w:rPr>
              <w:t>% and</w:t>
            </w:r>
          </w:p>
        </w:tc>
        <w:tc>
          <w:tcPr>
            <w:tcW w:w="6520" w:type="dxa"/>
            <w:vAlign w:val="bottom"/>
            <w:gridSpan w:val="5"/>
          </w:tcPr>
          <w:p>
            <w:pPr>
              <w:jc w:val="center"/>
              <w:ind w:left="32"/>
              <w:spacing w:after="0" w:line="202" w:lineRule="exact"/>
              <w:rPr>
                <w:sz w:val="20"/>
                <w:szCs w:val="20"/>
                <w:color w:val="auto"/>
              </w:rPr>
            </w:pPr>
            <w:r>
              <w:rPr>
                <w:rFonts w:ascii="Arial" w:cs="Arial" w:eastAsia="Arial" w:hAnsi="Arial"/>
                <w:sz w:val="18"/>
                <w:szCs w:val="18"/>
                <w:color w:val="auto"/>
                <w:w w:val="97"/>
              </w:rPr>
              <w:t>%, respectively, if the underwriters exercise their option to purchase additional</w:t>
            </w:r>
          </w:p>
        </w:tc>
      </w:tr>
      <w:tr>
        <w:trPr>
          <w:trHeight w:val="203"/>
        </w:trPr>
        <w:tc>
          <w:tcPr>
            <w:tcW w:w="2960" w:type="dxa"/>
            <w:vAlign w:val="bottom"/>
          </w:tcPr>
          <w:p>
            <w:pPr>
              <w:spacing w:after="0"/>
              <w:rPr>
                <w:sz w:val="17"/>
                <w:szCs w:val="17"/>
                <w:color w:val="auto"/>
              </w:rPr>
            </w:pPr>
          </w:p>
        </w:tc>
        <w:tc>
          <w:tcPr>
            <w:tcW w:w="5680" w:type="dxa"/>
            <w:vAlign w:val="bottom"/>
            <w:gridSpan w:val="5"/>
          </w:tcPr>
          <w:p>
            <w:pPr>
              <w:ind w:left="120"/>
              <w:spacing w:after="0" w:line="202" w:lineRule="exact"/>
              <w:rPr>
                <w:sz w:val="20"/>
                <w:szCs w:val="20"/>
                <w:color w:val="auto"/>
              </w:rPr>
            </w:pPr>
            <w:r>
              <w:rPr>
                <w:rFonts w:ascii="Arial" w:cs="Arial" w:eastAsia="Arial" w:hAnsi="Arial"/>
                <w:sz w:val="18"/>
                <w:szCs w:val="18"/>
                <w:color w:val="auto"/>
              </w:rPr>
              <w:t>shares of Class A common stock in full). Insignia will directly own</w:t>
            </w:r>
          </w:p>
        </w:tc>
        <w:tc>
          <w:tcPr>
            <w:tcW w:w="2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of the economic interests</w:t>
            </w:r>
          </w:p>
        </w:tc>
      </w:tr>
      <w:tr>
        <w:trPr>
          <w:trHeight w:val="203"/>
        </w:trPr>
        <w:tc>
          <w:tcPr>
            <w:tcW w:w="2960" w:type="dxa"/>
            <w:vAlign w:val="bottom"/>
          </w:tcPr>
          <w:p>
            <w:pPr>
              <w:spacing w:after="0"/>
              <w:rPr>
                <w:sz w:val="17"/>
                <w:szCs w:val="17"/>
                <w:color w:val="auto"/>
              </w:rPr>
            </w:pPr>
          </w:p>
        </w:tc>
        <w:tc>
          <w:tcPr>
            <w:tcW w:w="20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 QL Holdings LLC (or</w:t>
            </w:r>
          </w:p>
        </w:tc>
        <w:tc>
          <w:tcPr>
            <w:tcW w:w="6000" w:type="dxa"/>
            <w:vAlign w:val="bottom"/>
            <w:gridSpan w:val="4"/>
          </w:tcPr>
          <w:p>
            <w:pPr>
              <w:jc w:val="right"/>
              <w:ind w:right="452"/>
              <w:spacing w:after="0" w:line="202" w:lineRule="exact"/>
              <w:rPr>
                <w:sz w:val="20"/>
                <w:szCs w:val="20"/>
                <w:color w:val="auto"/>
              </w:rPr>
            </w:pPr>
            <w:r>
              <w:rPr>
                <w:rFonts w:ascii="Arial" w:cs="Arial" w:eastAsia="Arial" w:hAnsi="Arial"/>
                <w:sz w:val="18"/>
                <w:szCs w:val="18"/>
                <w:color w:val="auto"/>
              </w:rPr>
              <w:t>% if the underwriters exercise their option to purchase additional</w:t>
            </w:r>
          </w:p>
        </w:tc>
      </w:tr>
      <w:tr>
        <w:trPr>
          <w:trHeight w:val="203"/>
        </w:trPr>
        <w:tc>
          <w:tcPr>
            <w:tcW w:w="2960" w:type="dxa"/>
            <w:vAlign w:val="bottom"/>
          </w:tcPr>
          <w:p>
            <w:pPr>
              <w:spacing w:after="0"/>
              <w:rPr>
                <w:sz w:val="17"/>
                <w:szCs w:val="17"/>
                <w:color w:val="auto"/>
              </w:rPr>
            </w:pPr>
          </w:p>
        </w:tc>
        <w:tc>
          <w:tcPr>
            <w:tcW w:w="80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shares of Class A common stock in full), and the Senior Executives will directly or indirectly own</w:t>
            </w:r>
          </w:p>
        </w:tc>
      </w:tr>
      <w:tr>
        <w:trPr>
          <w:trHeight w:val="203"/>
        </w:trPr>
        <w:tc>
          <w:tcPr>
            <w:tcW w:w="2960" w:type="dxa"/>
            <w:vAlign w:val="bottom"/>
          </w:tcPr>
          <w:p>
            <w:pPr>
              <w:spacing w:after="0"/>
              <w:rPr>
                <w:sz w:val="17"/>
                <w:szCs w:val="17"/>
                <w:color w:val="auto"/>
              </w:rPr>
            </w:pPr>
          </w:p>
        </w:tc>
        <w:tc>
          <w:tcPr>
            <w:tcW w:w="4940" w:type="dxa"/>
            <w:vAlign w:val="bottom"/>
            <w:gridSpan w:val="4"/>
          </w:tcPr>
          <w:p>
            <w:pPr>
              <w:ind w:left="700"/>
              <w:spacing w:after="0" w:line="202" w:lineRule="exact"/>
              <w:rPr>
                <w:sz w:val="20"/>
                <w:szCs w:val="20"/>
                <w:color w:val="auto"/>
              </w:rPr>
            </w:pPr>
            <w:r>
              <w:rPr>
                <w:rFonts w:ascii="Arial" w:cs="Arial" w:eastAsia="Arial" w:hAnsi="Arial"/>
                <w:sz w:val="18"/>
                <w:szCs w:val="18"/>
                <w:color w:val="auto"/>
              </w:rPr>
              <w:t>% of the economic interests in QL Holdings LLC (or</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if the underwriters exercise their</w:t>
            </w:r>
          </w:p>
        </w:tc>
      </w:tr>
      <w:tr>
        <w:trPr>
          <w:trHeight w:val="196"/>
        </w:trPr>
        <w:tc>
          <w:tcPr>
            <w:tcW w:w="2960" w:type="dxa"/>
            <w:vAlign w:val="bottom"/>
            <w:tcBorders>
              <w:bottom w:val="single" w:sz="8" w:color="auto"/>
            </w:tcBorders>
          </w:tcPr>
          <w:p>
            <w:pPr>
              <w:spacing w:after="0"/>
              <w:rPr>
                <w:sz w:val="17"/>
                <w:szCs w:val="17"/>
                <w:color w:val="auto"/>
              </w:rPr>
            </w:pPr>
          </w:p>
        </w:tc>
        <w:tc>
          <w:tcPr>
            <w:tcW w:w="5680" w:type="dxa"/>
            <w:vAlign w:val="bottom"/>
            <w:tcBorders>
              <w:bottom w:val="single" w:sz="8" w:color="auto"/>
            </w:tcBorders>
            <w:gridSpan w:val="5"/>
          </w:tcPr>
          <w:p>
            <w:pPr>
              <w:ind w:left="120"/>
              <w:spacing w:after="0" w:line="196" w:lineRule="exact"/>
              <w:rPr>
                <w:sz w:val="20"/>
                <w:szCs w:val="20"/>
                <w:color w:val="auto"/>
              </w:rPr>
            </w:pPr>
            <w:r>
              <w:rPr>
                <w:rFonts w:ascii="Arial" w:cs="Arial" w:eastAsia="Arial" w:hAnsi="Arial"/>
                <w:sz w:val="18"/>
                <w:szCs w:val="18"/>
                <w:color w:val="auto"/>
                <w:w w:val="99"/>
              </w:rPr>
              <w:t>option to purchase additional shares of Class A common stock in full).</w:t>
            </w:r>
          </w:p>
        </w:tc>
        <w:tc>
          <w:tcPr>
            <w:tcW w:w="2380" w:type="dxa"/>
            <w:vAlign w:val="bottom"/>
            <w:tcBorders>
              <w:bottom w:val="single" w:sz="8" w:color="auto"/>
            </w:tcBorders>
          </w:tcPr>
          <w:p>
            <w:pPr>
              <w:spacing w:after="0"/>
              <w:rPr>
                <w:sz w:val="17"/>
                <w:szCs w:val="17"/>
                <w:color w:val="auto"/>
              </w:rPr>
            </w:pPr>
          </w:p>
        </w:tc>
      </w:tr>
      <w:tr>
        <w:trPr>
          <w:trHeight w:val="359"/>
        </w:trPr>
        <w:tc>
          <w:tcPr>
            <w:tcW w:w="2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jc w:val="right"/>
              <w:ind w:right="892"/>
              <w:spacing w:after="0"/>
              <w:rPr>
                <w:sz w:val="20"/>
                <w:szCs w:val="20"/>
                <w:color w:val="auto"/>
              </w:rPr>
            </w:pPr>
            <w:r>
              <w:rPr>
                <w:rFonts w:ascii="Arial" w:cs="Arial" w:eastAsia="Arial" w:hAnsi="Arial"/>
                <w:sz w:val="18"/>
                <w:szCs w:val="18"/>
                <w:color w:val="auto"/>
              </w:rPr>
              <w:t>14</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18" w:lineRule="exact"/>
        <w:rPr>
          <w:sz w:val="20"/>
          <w:szCs w:val="20"/>
          <w:color w:val="auto"/>
        </w:rPr>
      </w:pPr>
    </w:p>
    <w:tbl>
      <w:tblPr>
        <w:tblLayout w:type="fixed"/>
        <w:tblInd w:w="130" w:type="dxa"/>
        <w:tblCellMar>
          <w:top w:w="0" w:type="dxa"/>
          <w:left w:w="0" w:type="dxa"/>
          <w:bottom w:w="0" w:type="dxa"/>
          <w:right w:w="0" w:type="dxa"/>
        </w:tblCellMar>
      </w:tblPr>
      <w:tr>
        <w:trPr>
          <w:trHeight w:val="236"/>
        </w:trPr>
        <w:tc>
          <w:tcPr>
            <w:tcW w:w="26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Voting rights</w:t>
            </w:r>
          </w:p>
        </w:tc>
        <w:tc>
          <w:tcPr>
            <w:tcW w:w="8360" w:type="dxa"/>
            <w:vAlign w:val="bottom"/>
            <w:tcBorders>
              <w:top w:val="single" w:sz="8" w:color="auto"/>
              <w:right w:val="single" w:sz="8" w:color="auto"/>
            </w:tcBorders>
            <w:gridSpan w:val="7"/>
          </w:tcPr>
          <w:p>
            <w:pPr>
              <w:ind w:left="420"/>
              <w:spacing w:after="0"/>
              <w:rPr>
                <w:sz w:val="20"/>
                <w:szCs w:val="20"/>
                <w:color w:val="auto"/>
              </w:rPr>
            </w:pPr>
            <w:r>
              <w:rPr>
                <w:rFonts w:ascii="Arial" w:cs="Arial" w:eastAsia="Arial" w:hAnsi="Arial"/>
                <w:sz w:val="18"/>
                <w:szCs w:val="18"/>
                <w:color w:val="auto"/>
              </w:rPr>
              <w:t>Each share of our Class A common stock and Class B common stock entitles its holder to one vote</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7"/>
              </w:rPr>
              <w:t>on all matters to be voted on by stockholders. Holders of Class A common stock and holders of Class</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7"/>
              </w:rPr>
              <w:t>B common stock vote together as a single class on all matters presented to stockholders for their vote</w:t>
            </w:r>
          </w:p>
        </w:tc>
      </w:tr>
      <w:tr>
        <w:trPr>
          <w:trHeight w:val="211"/>
        </w:trPr>
        <w:tc>
          <w:tcPr>
            <w:tcW w:w="2660" w:type="dxa"/>
            <w:vAlign w:val="bottom"/>
            <w:tcBorders>
              <w:left w:val="single" w:sz="8" w:color="auto"/>
            </w:tcBorders>
          </w:tcPr>
          <w:p>
            <w:pPr>
              <w:spacing w:after="0"/>
              <w:rPr>
                <w:sz w:val="18"/>
                <w:szCs w:val="18"/>
                <w:color w:val="auto"/>
              </w:rPr>
            </w:pPr>
          </w:p>
        </w:tc>
        <w:tc>
          <w:tcPr>
            <w:tcW w:w="5040" w:type="dxa"/>
            <w:vAlign w:val="bottom"/>
            <w:gridSpan w:val="3"/>
          </w:tcPr>
          <w:p>
            <w:pPr>
              <w:ind w:left="420"/>
              <w:spacing w:after="0"/>
              <w:rPr>
                <w:sz w:val="20"/>
                <w:szCs w:val="20"/>
                <w:color w:val="auto"/>
              </w:rPr>
            </w:pPr>
            <w:r>
              <w:rPr>
                <w:rFonts w:ascii="Arial" w:cs="Arial" w:eastAsia="Arial" w:hAnsi="Arial"/>
                <w:sz w:val="18"/>
                <w:szCs w:val="18"/>
                <w:color w:val="auto"/>
              </w:rPr>
              <w:t>or approval, except as otherwise required by law.</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316"/>
        </w:trPr>
        <w:tc>
          <w:tcPr>
            <w:tcW w:w="2660" w:type="dxa"/>
            <w:vAlign w:val="bottom"/>
            <w:tcBorders>
              <w:left w:val="single" w:sz="8" w:color="auto"/>
            </w:tcBorders>
          </w:tcPr>
          <w:p>
            <w:pPr>
              <w:spacing w:after="0"/>
              <w:rPr>
                <w:sz w:val="24"/>
                <w:szCs w:val="24"/>
                <w:color w:val="auto"/>
              </w:rPr>
            </w:pPr>
          </w:p>
        </w:tc>
        <w:tc>
          <w:tcPr>
            <w:tcW w:w="5400" w:type="dxa"/>
            <w:vAlign w:val="bottom"/>
            <w:gridSpan w:val="4"/>
          </w:tcPr>
          <w:p>
            <w:pPr>
              <w:ind w:left="420"/>
              <w:spacing w:after="0"/>
              <w:rPr>
                <w:sz w:val="20"/>
                <w:szCs w:val="20"/>
                <w:color w:val="auto"/>
              </w:rPr>
            </w:pPr>
            <w:r>
              <w:rPr>
                <w:rFonts w:ascii="Arial" w:cs="Arial" w:eastAsia="Arial" w:hAnsi="Arial"/>
                <w:sz w:val="18"/>
                <w:szCs w:val="18"/>
                <w:color w:val="auto"/>
                <w:w w:val="98"/>
              </w:rPr>
              <w:t>Holders of our Class A common stock will hold an aggregate of</w:t>
            </w:r>
          </w:p>
        </w:tc>
        <w:tc>
          <w:tcPr>
            <w:tcW w:w="2960" w:type="dxa"/>
            <w:vAlign w:val="bottom"/>
            <w:tcBorders>
              <w:right w:val="single" w:sz="8" w:color="auto"/>
            </w:tcBorders>
            <w:gridSpan w:val="3"/>
          </w:tcPr>
          <w:p>
            <w:pPr>
              <w:jc w:val="right"/>
              <w:ind w:right="372"/>
              <w:spacing w:after="0"/>
              <w:rPr>
                <w:sz w:val="20"/>
                <w:szCs w:val="20"/>
                <w:color w:val="auto"/>
              </w:rPr>
            </w:pPr>
            <w:r>
              <w:rPr>
                <w:rFonts w:ascii="Arial" w:cs="Arial" w:eastAsia="Arial" w:hAnsi="Arial"/>
                <w:sz w:val="18"/>
                <w:szCs w:val="18"/>
                <w:color w:val="auto"/>
              </w:rPr>
              <w:t>% of the combined voting</w:t>
            </w:r>
          </w:p>
        </w:tc>
      </w:tr>
      <w:tr>
        <w:trPr>
          <w:trHeight w:val="203"/>
        </w:trPr>
        <w:tc>
          <w:tcPr>
            <w:tcW w:w="2660" w:type="dxa"/>
            <w:vAlign w:val="bottom"/>
            <w:tcBorders>
              <w:left w:val="single" w:sz="8" w:color="auto"/>
            </w:tcBorders>
          </w:tcPr>
          <w:p>
            <w:pPr>
              <w:spacing w:after="0"/>
              <w:rPr>
                <w:sz w:val="17"/>
                <w:szCs w:val="17"/>
                <w:color w:val="auto"/>
              </w:rPr>
            </w:pPr>
          </w:p>
        </w:tc>
        <w:tc>
          <w:tcPr>
            <w:tcW w:w="7600" w:type="dxa"/>
            <w:vAlign w:val="bottom"/>
            <w:gridSpan w:val="6"/>
          </w:tcPr>
          <w:p>
            <w:pPr>
              <w:ind w:left="420"/>
              <w:spacing w:after="0" w:line="202" w:lineRule="exact"/>
              <w:rPr>
                <w:sz w:val="20"/>
                <w:szCs w:val="20"/>
                <w:color w:val="auto"/>
              </w:rPr>
            </w:pPr>
            <w:r>
              <w:rPr>
                <w:rFonts w:ascii="Arial" w:cs="Arial" w:eastAsia="Arial" w:hAnsi="Arial"/>
                <w:sz w:val="18"/>
                <w:szCs w:val="18"/>
                <w:color w:val="auto"/>
                <w:w w:val="98"/>
              </w:rPr>
              <w:t>power of our issued and outstanding common stock upon the completion of this offering (or</w:t>
            </w:r>
          </w:p>
        </w:tc>
        <w:tc>
          <w:tcPr>
            <w:tcW w:w="760" w:type="dxa"/>
            <w:vAlign w:val="bottom"/>
            <w:tcBorders>
              <w:right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rPr>
              <w:t>if the underwriters exercise their option to purchase additional shares of Class A common stock in</w:t>
            </w:r>
          </w:p>
        </w:tc>
      </w:tr>
      <w:tr>
        <w:trPr>
          <w:trHeight w:val="211"/>
        </w:trPr>
        <w:tc>
          <w:tcPr>
            <w:tcW w:w="2660" w:type="dxa"/>
            <w:vAlign w:val="bottom"/>
            <w:tcBorders>
              <w:left w:val="single" w:sz="8" w:color="auto"/>
            </w:tcBorders>
          </w:tcPr>
          <w:p>
            <w:pPr>
              <w:spacing w:after="0"/>
              <w:rPr>
                <w:sz w:val="18"/>
                <w:szCs w:val="18"/>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full).</w:t>
            </w:r>
          </w:p>
        </w:tc>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316"/>
        </w:trPr>
        <w:tc>
          <w:tcPr>
            <w:tcW w:w="2660" w:type="dxa"/>
            <w:vAlign w:val="bottom"/>
            <w:tcBorders>
              <w:left w:val="single" w:sz="8" w:color="auto"/>
            </w:tcBorders>
          </w:tcPr>
          <w:p>
            <w:pPr>
              <w:spacing w:after="0"/>
              <w:rPr>
                <w:sz w:val="24"/>
                <w:szCs w:val="24"/>
                <w:color w:val="auto"/>
              </w:rPr>
            </w:pPr>
          </w:p>
        </w:tc>
        <w:tc>
          <w:tcPr>
            <w:tcW w:w="5400" w:type="dxa"/>
            <w:vAlign w:val="bottom"/>
            <w:gridSpan w:val="4"/>
          </w:tcPr>
          <w:p>
            <w:pPr>
              <w:ind w:left="420"/>
              <w:spacing w:after="0"/>
              <w:rPr>
                <w:sz w:val="20"/>
                <w:szCs w:val="20"/>
                <w:color w:val="auto"/>
              </w:rPr>
            </w:pPr>
            <w:r>
              <w:rPr>
                <w:rFonts w:ascii="Arial" w:cs="Arial" w:eastAsia="Arial" w:hAnsi="Arial"/>
                <w:sz w:val="18"/>
                <w:szCs w:val="18"/>
                <w:color w:val="auto"/>
                <w:w w:val="98"/>
              </w:rPr>
              <w:t>Holders of our Class B common stock will hold an aggregate of</w:t>
            </w:r>
          </w:p>
        </w:tc>
        <w:tc>
          <w:tcPr>
            <w:tcW w:w="2960" w:type="dxa"/>
            <w:vAlign w:val="bottom"/>
            <w:tcBorders>
              <w:right w:val="single" w:sz="8" w:color="auto"/>
            </w:tcBorders>
            <w:gridSpan w:val="3"/>
          </w:tcPr>
          <w:p>
            <w:pPr>
              <w:jc w:val="right"/>
              <w:ind w:right="372"/>
              <w:spacing w:after="0"/>
              <w:rPr>
                <w:sz w:val="20"/>
                <w:szCs w:val="20"/>
                <w:color w:val="auto"/>
              </w:rPr>
            </w:pPr>
            <w:r>
              <w:rPr>
                <w:rFonts w:ascii="Arial" w:cs="Arial" w:eastAsia="Arial" w:hAnsi="Arial"/>
                <w:sz w:val="18"/>
                <w:szCs w:val="18"/>
                <w:color w:val="auto"/>
              </w:rPr>
              <w:t>% of the combined voting</w:t>
            </w:r>
          </w:p>
        </w:tc>
      </w:tr>
      <w:tr>
        <w:trPr>
          <w:trHeight w:val="203"/>
        </w:trPr>
        <w:tc>
          <w:tcPr>
            <w:tcW w:w="2660" w:type="dxa"/>
            <w:vAlign w:val="bottom"/>
            <w:tcBorders>
              <w:left w:val="single" w:sz="8" w:color="auto"/>
            </w:tcBorders>
          </w:tcPr>
          <w:p>
            <w:pPr>
              <w:spacing w:after="0"/>
              <w:rPr>
                <w:sz w:val="17"/>
                <w:szCs w:val="17"/>
                <w:color w:val="auto"/>
              </w:rPr>
            </w:pPr>
          </w:p>
        </w:tc>
        <w:tc>
          <w:tcPr>
            <w:tcW w:w="7600" w:type="dxa"/>
            <w:vAlign w:val="bottom"/>
            <w:gridSpan w:val="6"/>
          </w:tcPr>
          <w:p>
            <w:pPr>
              <w:ind w:left="420"/>
              <w:spacing w:after="0" w:line="202" w:lineRule="exact"/>
              <w:rPr>
                <w:sz w:val="20"/>
                <w:szCs w:val="20"/>
                <w:color w:val="auto"/>
              </w:rPr>
            </w:pPr>
            <w:r>
              <w:rPr>
                <w:rFonts w:ascii="Arial" w:cs="Arial" w:eastAsia="Arial" w:hAnsi="Arial"/>
                <w:sz w:val="18"/>
                <w:szCs w:val="18"/>
                <w:color w:val="auto"/>
                <w:w w:val="98"/>
              </w:rPr>
              <w:t>power of our issued and outstanding common stock upon the completion of this offering (or</w:t>
            </w:r>
          </w:p>
        </w:tc>
        <w:tc>
          <w:tcPr>
            <w:tcW w:w="760" w:type="dxa"/>
            <w:vAlign w:val="bottom"/>
            <w:tcBorders>
              <w:right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rPr>
              <w:t>if the underwriters exercise their option to purchase additional shares of Class A common stock in</w:t>
            </w:r>
          </w:p>
        </w:tc>
      </w:tr>
      <w:tr>
        <w:trPr>
          <w:trHeight w:val="211"/>
        </w:trPr>
        <w:tc>
          <w:tcPr>
            <w:tcW w:w="2660" w:type="dxa"/>
            <w:vAlign w:val="bottom"/>
            <w:tcBorders>
              <w:left w:val="single" w:sz="8" w:color="auto"/>
            </w:tcBorders>
          </w:tcPr>
          <w:p>
            <w:pPr>
              <w:spacing w:after="0"/>
              <w:rPr>
                <w:sz w:val="18"/>
                <w:szCs w:val="18"/>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full).</w:t>
            </w:r>
          </w:p>
        </w:tc>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316"/>
        </w:trPr>
        <w:tc>
          <w:tcPr>
            <w:tcW w:w="2660" w:type="dxa"/>
            <w:vAlign w:val="bottom"/>
            <w:tcBorders>
              <w:left w:val="single" w:sz="8" w:color="auto"/>
            </w:tcBorders>
          </w:tcPr>
          <w:p>
            <w:pPr>
              <w:spacing w:after="0"/>
              <w:rPr>
                <w:sz w:val="24"/>
                <w:szCs w:val="24"/>
                <w:color w:val="auto"/>
              </w:rPr>
            </w:pPr>
          </w:p>
        </w:tc>
        <w:tc>
          <w:tcPr>
            <w:tcW w:w="6700" w:type="dxa"/>
            <w:vAlign w:val="bottom"/>
            <w:gridSpan w:val="5"/>
          </w:tcPr>
          <w:p>
            <w:pPr>
              <w:ind w:left="420"/>
              <w:spacing w:after="0"/>
              <w:rPr>
                <w:sz w:val="20"/>
                <w:szCs w:val="20"/>
                <w:color w:val="auto"/>
              </w:rPr>
            </w:pPr>
            <w:r>
              <w:rPr>
                <w:rFonts w:ascii="Arial" w:cs="Arial" w:eastAsia="Arial" w:hAnsi="Arial"/>
                <w:sz w:val="18"/>
                <w:szCs w:val="18"/>
                <w:color w:val="auto"/>
              </w:rPr>
              <w:t>After completion of this offering, (a) White Mountains will beneficially own</w:t>
            </w:r>
          </w:p>
        </w:tc>
        <w:tc>
          <w:tcPr>
            <w:tcW w:w="16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6"/>
              </w:rPr>
              <w:t>% of our outstanding</w:t>
            </w:r>
          </w:p>
        </w:tc>
      </w:tr>
      <w:tr>
        <w:trPr>
          <w:trHeight w:val="203"/>
        </w:trPr>
        <w:tc>
          <w:tcPr>
            <w:tcW w:w="2660" w:type="dxa"/>
            <w:vAlign w:val="bottom"/>
            <w:tcBorders>
              <w:left w:val="single" w:sz="8" w:color="auto"/>
            </w:tcBorders>
          </w:tcPr>
          <w:p>
            <w:pPr>
              <w:spacing w:after="0"/>
              <w:rPr>
                <w:sz w:val="17"/>
                <w:szCs w:val="17"/>
                <w:color w:val="auto"/>
              </w:rPr>
            </w:pPr>
          </w:p>
        </w:tc>
        <w:tc>
          <w:tcPr>
            <w:tcW w:w="2540" w:type="dxa"/>
            <w:vAlign w:val="bottom"/>
            <w:gridSpan w:val="2"/>
          </w:tcPr>
          <w:p>
            <w:pPr>
              <w:ind w:left="420"/>
              <w:spacing w:after="0" w:line="202" w:lineRule="exact"/>
              <w:rPr>
                <w:sz w:val="20"/>
                <w:szCs w:val="20"/>
                <w:color w:val="auto"/>
              </w:rPr>
            </w:pPr>
            <w:r>
              <w:rPr>
                <w:rFonts w:ascii="Arial" w:cs="Arial" w:eastAsia="Arial" w:hAnsi="Arial"/>
                <w:sz w:val="18"/>
                <w:szCs w:val="18"/>
                <w:color w:val="auto"/>
                <w:w w:val="99"/>
              </w:rPr>
              <w:t>Class A common stock (or</w:t>
            </w:r>
          </w:p>
        </w:tc>
        <w:tc>
          <w:tcPr>
            <w:tcW w:w="5820" w:type="dxa"/>
            <w:vAlign w:val="bottom"/>
            <w:tcBorders>
              <w:right w:val="single" w:sz="8" w:color="auto"/>
            </w:tcBorders>
            <w:gridSpan w:val="5"/>
          </w:tcPr>
          <w:p>
            <w:pPr>
              <w:jc w:val="right"/>
              <w:ind w:right="192"/>
              <w:spacing w:after="0" w:line="202" w:lineRule="exact"/>
              <w:rPr>
                <w:sz w:val="20"/>
                <w:szCs w:val="20"/>
                <w:color w:val="auto"/>
              </w:rPr>
            </w:pPr>
            <w:r>
              <w:rPr>
                <w:rFonts w:ascii="Arial" w:cs="Arial" w:eastAsia="Arial" w:hAnsi="Arial"/>
                <w:sz w:val="18"/>
                <w:szCs w:val="18"/>
                <w:color w:val="auto"/>
              </w:rPr>
              <w:t>% if the underwriters exercise their option to purchase additional</w:t>
            </w:r>
          </w:p>
        </w:tc>
      </w:tr>
      <w:tr>
        <w:trPr>
          <w:trHeight w:val="203"/>
        </w:trPr>
        <w:tc>
          <w:tcPr>
            <w:tcW w:w="2660" w:type="dxa"/>
            <w:vAlign w:val="bottom"/>
            <w:tcBorders>
              <w:left w:val="single" w:sz="8" w:color="auto"/>
            </w:tcBorders>
          </w:tcPr>
          <w:p>
            <w:pPr>
              <w:spacing w:after="0"/>
              <w:rPr>
                <w:sz w:val="17"/>
                <w:szCs w:val="17"/>
                <w:color w:val="auto"/>
              </w:rPr>
            </w:pPr>
          </w:p>
        </w:tc>
        <w:tc>
          <w:tcPr>
            <w:tcW w:w="7600" w:type="dxa"/>
            <w:vAlign w:val="bottom"/>
            <w:gridSpan w:val="6"/>
          </w:tcPr>
          <w:p>
            <w:pPr>
              <w:ind w:left="420"/>
              <w:spacing w:after="0" w:line="202" w:lineRule="exact"/>
              <w:rPr>
                <w:sz w:val="20"/>
                <w:szCs w:val="20"/>
                <w:color w:val="auto"/>
              </w:rPr>
            </w:pPr>
            <w:r>
              <w:rPr>
                <w:rFonts w:ascii="Arial" w:cs="Arial" w:eastAsia="Arial" w:hAnsi="Arial"/>
                <w:sz w:val="18"/>
                <w:szCs w:val="18"/>
                <w:color w:val="auto"/>
              </w:rPr>
              <w:t>shares of Class A common stock in full) and no Class B common stock, which represents</w:t>
            </w:r>
          </w:p>
        </w:tc>
        <w:tc>
          <w:tcPr>
            <w:tcW w:w="7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 of</w:t>
            </w:r>
          </w:p>
        </w:tc>
      </w:tr>
      <w:tr>
        <w:trPr>
          <w:trHeight w:val="203"/>
        </w:trPr>
        <w:tc>
          <w:tcPr>
            <w:tcW w:w="2660" w:type="dxa"/>
            <w:vAlign w:val="bottom"/>
            <w:tcBorders>
              <w:left w:val="single" w:sz="8" w:color="auto"/>
            </w:tcBorders>
          </w:tcPr>
          <w:p>
            <w:pPr>
              <w:spacing w:after="0"/>
              <w:rPr>
                <w:sz w:val="17"/>
                <w:szCs w:val="17"/>
                <w:color w:val="auto"/>
              </w:rPr>
            </w:pPr>
          </w:p>
        </w:tc>
        <w:tc>
          <w:tcPr>
            <w:tcW w:w="2060" w:type="dxa"/>
            <w:vAlign w:val="bottom"/>
          </w:tcPr>
          <w:p>
            <w:pPr>
              <w:ind w:left="420"/>
              <w:spacing w:after="0" w:line="202" w:lineRule="exact"/>
              <w:rPr>
                <w:sz w:val="20"/>
                <w:szCs w:val="20"/>
                <w:color w:val="auto"/>
              </w:rPr>
            </w:pPr>
            <w:r>
              <w:rPr>
                <w:rFonts w:ascii="Arial" w:cs="Arial" w:eastAsia="Arial" w:hAnsi="Arial"/>
                <w:sz w:val="18"/>
                <w:szCs w:val="18"/>
                <w:color w:val="auto"/>
              </w:rPr>
              <w:t>our voting power (or</w:t>
            </w:r>
          </w:p>
        </w:tc>
        <w:tc>
          <w:tcPr>
            <w:tcW w:w="480" w:type="dxa"/>
            <w:vAlign w:val="bottom"/>
          </w:tcPr>
          <w:p>
            <w:pPr>
              <w:spacing w:after="0"/>
              <w:rPr>
                <w:sz w:val="17"/>
                <w:szCs w:val="17"/>
                <w:color w:val="auto"/>
              </w:rPr>
            </w:pPr>
          </w:p>
        </w:tc>
        <w:tc>
          <w:tcPr>
            <w:tcW w:w="5820" w:type="dxa"/>
            <w:vAlign w:val="bottom"/>
            <w:tcBorders>
              <w:right w:val="single" w:sz="8" w:color="auto"/>
            </w:tcBorders>
            <w:gridSpan w:val="5"/>
          </w:tcPr>
          <w:p>
            <w:pPr>
              <w:jc w:val="right"/>
              <w:ind w:right="92"/>
              <w:spacing w:after="0" w:line="202" w:lineRule="exact"/>
              <w:rPr>
                <w:sz w:val="20"/>
                <w:szCs w:val="20"/>
                <w:color w:val="auto"/>
              </w:rPr>
            </w:pPr>
            <w:r>
              <w:rPr>
                <w:rFonts w:ascii="Arial" w:cs="Arial" w:eastAsia="Arial" w:hAnsi="Arial"/>
                <w:sz w:val="18"/>
                <w:szCs w:val="18"/>
                <w:color w:val="auto"/>
                <w:w w:val="98"/>
              </w:rPr>
              <w:t>% if the underwriters exercise their option to purchase additional shares</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rPr>
              <w:t>of Class A common stock in full), (b) Insignia will beneficially own no Class A common stock and</w:t>
            </w:r>
          </w:p>
        </w:tc>
      </w:tr>
      <w:tr>
        <w:trPr>
          <w:trHeight w:val="203"/>
        </w:trPr>
        <w:tc>
          <w:tcPr>
            <w:tcW w:w="2660" w:type="dxa"/>
            <w:vAlign w:val="bottom"/>
            <w:tcBorders>
              <w:left w:val="single" w:sz="8" w:color="auto"/>
            </w:tcBorders>
          </w:tcPr>
          <w:p>
            <w:pPr>
              <w:spacing w:after="0"/>
              <w:rPr>
                <w:sz w:val="17"/>
                <w:szCs w:val="17"/>
                <w:color w:val="auto"/>
              </w:rPr>
            </w:pPr>
          </w:p>
        </w:tc>
        <w:tc>
          <w:tcPr>
            <w:tcW w:w="2060" w:type="dxa"/>
            <w:vAlign w:val="bottom"/>
          </w:tcPr>
          <w:p>
            <w:pPr>
              <w:ind w:left="420"/>
              <w:spacing w:after="0" w:line="202" w:lineRule="exact"/>
              <w:rPr>
                <w:sz w:val="20"/>
                <w:szCs w:val="20"/>
                <w:color w:val="auto"/>
              </w:rPr>
            </w:pPr>
            <w:r>
              <w:rPr>
                <w:rFonts w:ascii="Arial" w:cs="Arial" w:eastAsia="Arial" w:hAnsi="Arial"/>
                <w:sz w:val="18"/>
                <w:szCs w:val="18"/>
                <w:color w:val="auto"/>
              </w:rPr>
              <w:t>approximately</w:t>
            </w:r>
          </w:p>
        </w:tc>
        <w:tc>
          <w:tcPr>
            <w:tcW w:w="554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 of our outstanding Class B common stock, which represents</w:t>
            </w:r>
          </w:p>
        </w:tc>
        <w:tc>
          <w:tcPr>
            <w:tcW w:w="7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 of our</w:t>
            </w:r>
          </w:p>
        </w:tc>
      </w:tr>
      <w:tr>
        <w:trPr>
          <w:trHeight w:val="203"/>
        </w:trPr>
        <w:tc>
          <w:tcPr>
            <w:tcW w:w="2660" w:type="dxa"/>
            <w:vAlign w:val="bottom"/>
            <w:tcBorders>
              <w:left w:val="single" w:sz="8" w:color="auto"/>
            </w:tcBorders>
          </w:tcPr>
          <w:p>
            <w:pPr>
              <w:spacing w:after="0"/>
              <w:rPr>
                <w:sz w:val="17"/>
                <w:szCs w:val="17"/>
                <w:color w:val="auto"/>
              </w:rPr>
            </w:pPr>
          </w:p>
        </w:tc>
        <w:tc>
          <w:tcPr>
            <w:tcW w:w="2060" w:type="dxa"/>
            <w:vAlign w:val="bottom"/>
          </w:tcPr>
          <w:p>
            <w:pPr>
              <w:ind w:left="420"/>
              <w:spacing w:after="0" w:line="202" w:lineRule="exact"/>
              <w:rPr>
                <w:sz w:val="20"/>
                <w:szCs w:val="20"/>
                <w:color w:val="auto"/>
              </w:rPr>
            </w:pPr>
            <w:r>
              <w:rPr>
                <w:rFonts w:ascii="Arial" w:cs="Arial" w:eastAsia="Arial" w:hAnsi="Arial"/>
                <w:sz w:val="18"/>
                <w:szCs w:val="18"/>
                <w:color w:val="auto"/>
              </w:rPr>
              <w:t>voting power (or</w:t>
            </w:r>
          </w:p>
        </w:tc>
        <w:tc>
          <w:tcPr>
            <w:tcW w:w="6300" w:type="dxa"/>
            <w:vAlign w:val="bottom"/>
            <w:tcBorders>
              <w:right w:val="single" w:sz="8" w:color="auto"/>
            </w:tcBorders>
            <w:gridSpan w:val="6"/>
          </w:tcPr>
          <w:p>
            <w:pPr>
              <w:jc w:val="right"/>
              <w:ind w:right="212"/>
              <w:spacing w:after="0" w:line="202" w:lineRule="exact"/>
              <w:rPr>
                <w:sz w:val="20"/>
                <w:szCs w:val="20"/>
                <w:color w:val="auto"/>
              </w:rPr>
            </w:pPr>
            <w:r>
              <w:rPr>
                <w:rFonts w:ascii="Arial" w:cs="Arial" w:eastAsia="Arial" w:hAnsi="Arial"/>
                <w:sz w:val="18"/>
                <w:szCs w:val="18"/>
                <w:color w:val="auto"/>
              </w:rPr>
              <w:t>% if the underwriters exercise their option to purchase additional shares of</w:t>
            </w:r>
          </w:p>
        </w:tc>
      </w:tr>
      <w:tr>
        <w:trPr>
          <w:trHeight w:val="203"/>
        </w:trPr>
        <w:tc>
          <w:tcPr>
            <w:tcW w:w="2660" w:type="dxa"/>
            <w:vAlign w:val="bottom"/>
            <w:tcBorders>
              <w:left w:val="single" w:sz="8" w:color="auto"/>
            </w:tcBorders>
          </w:tcPr>
          <w:p>
            <w:pPr>
              <w:spacing w:after="0"/>
              <w:rPr>
                <w:sz w:val="17"/>
                <w:szCs w:val="17"/>
                <w:color w:val="auto"/>
              </w:rPr>
            </w:pPr>
          </w:p>
        </w:tc>
        <w:tc>
          <w:tcPr>
            <w:tcW w:w="6700" w:type="dxa"/>
            <w:vAlign w:val="bottom"/>
            <w:gridSpan w:val="5"/>
          </w:tcPr>
          <w:p>
            <w:pPr>
              <w:ind w:left="420"/>
              <w:spacing w:after="0" w:line="202" w:lineRule="exact"/>
              <w:rPr>
                <w:sz w:val="20"/>
                <w:szCs w:val="20"/>
                <w:color w:val="auto"/>
              </w:rPr>
            </w:pPr>
            <w:r>
              <w:rPr>
                <w:rFonts w:ascii="Arial" w:cs="Arial" w:eastAsia="Arial" w:hAnsi="Arial"/>
                <w:sz w:val="18"/>
                <w:szCs w:val="18"/>
                <w:color w:val="auto"/>
                <w:w w:val="97"/>
              </w:rPr>
              <w:t>Class A common stock in full), and (c) the Senior Executives will beneficially own</w:t>
            </w:r>
          </w:p>
        </w:tc>
        <w:tc>
          <w:tcPr>
            <w:tcW w:w="1660" w:type="dxa"/>
            <w:vAlign w:val="bottom"/>
            <w:tcBorders>
              <w:right w:val="single" w:sz="8" w:color="auto"/>
            </w:tcBorders>
            <w:gridSpan w:val="2"/>
          </w:tcPr>
          <w:p>
            <w:pPr>
              <w:jc w:val="right"/>
              <w:ind w:right="312"/>
              <w:spacing w:after="0" w:line="202" w:lineRule="exact"/>
              <w:rPr>
                <w:sz w:val="20"/>
                <w:szCs w:val="20"/>
                <w:color w:val="auto"/>
              </w:rPr>
            </w:pPr>
            <w:r>
              <w:rPr>
                <w:rFonts w:ascii="Arial" w:cs="Arial" w:eastAsia="Arial" w:hAnsi="Arial"/>
                <w:sz w:val="18"/>
                <w:szCs w:val="18"/>
                <w:color w:val="auto"/>
              </w:rPr>
              <w:t>% of our</w:t>
            </w:r>
          </w:p>
        </w:tc>
      </w:tr>
      <w:tr>
        <w:trPr>
          <w:trHeight w:val="203"/>
        </w:trPr>
        <w:tc>
          <w:tcPr>
            <w:tcW w:w="2660" w:type="dxa"/>
            <w:vAlign w:val="bottom"/>
            <w:tcBorders>
              <w:left w:val="single" w:sz="8" w:color="auto"/>
            </w:tcBorders>
          </w:tcPr>
          <w:p>
            <w:pPr>
              <w:spacing w:after="0"/>
              <w:rPr>
                <w:sz w:val="17"/>
                <w:szCs w:val="17"/>
                <w:color w:val="auto"/>
              </w:rPr>
            </w:pPr>
          </w:p>
        </w:tc>
        <w:tc>
          <w:tcPr>
            <w:tcW w:w="504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oustanding Class A common stock and approximately</w:t>
            </w:r>
          </w:p>
        </w:tc>
        <w:tc>
          <w:tcPr>
            <w:tcW w:w="3320" w:type="dxa"/>
            <w:vAlign w:val="bottom"/>
            <w:tcBorders>
              <w:right w:val="single" w:sz="8" w:color="auto"/>
            </w:tcBorders>
            <w:gridSpan w:val="4"/>
          </w:tcPr>
          <w:p>
            <w:pPr>
              <w:jc w:val="right"/>
              <w:ind w:right="72"/>
              <w:spacing w:after="0" w:line="202" w:lineRule="exact"/>
              <w:rPr>
                <w:sz w:val="20"/>
                <w:szCs w:val="20"/>
                <w:color w:val="auto"/>
              </w:rPr>
            </w:pPr>
            <w:r>
              <w:rPr>
                <w:rFonts w:ascii="Arial" w:cs="Arial" w:eastAsia="Arial" w:hAnsi="Arial"/>
                <w:sz w:val="18"/>
                <w:szCs w:val="18"/>
                <w:color w:val="auto"/>
              </w:rPr>
              <w:t>% of our outstanding Class B common</w:t>
            </w:r>
          </w:p>
        </w:tc>
      </w:tr>
      <w:tr>
        <w:trPr>
          <w:trHeight w:val="203"/>
        </w:trPr>
        <w:tc>
          <w:tcPr>
            <w:tcW w:w="2660" w:type="dxa"/>
            <w:vAlign w:val="bottom"/>
            <w:tcBorders>
              <w:left w:val="single" w:sz="8" w:color="auto"/>
            </w:tcBorders>
          </w:tcPr>
          <w:p>
            <w:pPr>
              <w:spacing w:after="0"/>
              <w:rPr>
                <w:sz w:val="17"/>
                <w:szCs w:val="17"/>
                <w:color w:val="auto"/>
              </w:rPr>
            </w:pPr>
          </w:p>
        </w:tc>
        <w:tc>
          <w:tcPr>
            <w:tcW w:w="25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stock, which represents</w:t>
            </w:r>
          </w:p>
        </w:tc>
        <w:tc>
          <w:tcPr>
            <w:tcW w:w="25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 of our voting power (or</w:t>
            </w:r>
          </w:p>
        </w:tc>
        <w:tc>
          <w:tcPr>
            <w:tcW w:w="360" w:type="dxa"/>
            <w:vAlign w:val="bottom"/>
          </w:tcPr>
          <w:p>
            <w:pPr>
              <w:spacing w:after="0"/>
              <w:rPr>
                <w:sz w:val="17"/>
                <w:szCs w:val="17"/>
                <w:color w:val="auto"/>
              </w:rPr>
            </w:pPr>
          </w:p>
        </w:tc>
        <w:tc>
          <w:tcPr>
            <w:tcW w:w="2960" w:type="dxa"/>
            <w:vAlign w:val="bottom"/>
            <w:tcBorders>
              <w:right w:val="single" w:sz="8" w:color="auto"/>
            </w:tcBorders>
            <w:gridSpan w:val="3"/>
          </w:tcPr>
          <w:p>
            <w:pPr>
              <w:jc w:val="right"/>
              <w:ind w:right="92"/>
              <w:spacing w:after="0" w:line="202" w:lineRule="exact"/>
              <w:rPr>
                <w:sz w:val="20"/>
                <w:szCs w:val="20"/>
                <w:color w:val="auto"/>
              </w:rPr>
            </w:pPr>
            <w:r>
              <w:rPr>
                <w:rFonts w:ascii="Arial" w:cs="Arial" w:eastAsia="Arial" w:hAnsi="Arial"/>
                <w:sz w:val="18"/>
                <w:szCs w:val="18"/>
                <w:color w:val="auto"/>
                <w:w w:val="99"/>
              </w:rPr>
              <w:t>% if the underwriters exercise their</w:t>
            </w:r>
          </w:p>
        </w:tc>
      </w:tr>
      <w:tr>
        <w:trPr>
          <w:trHeight w:val="211"/>
        </w:trPr>
        <w:tc>
          <w:tcPr>
            <w:tcW w:w="2660" w:type="dxa"/>
            <w:vAlign w:val="bottom"/>
            <w:tcBorders>
              <w:left w:val="single" w:sz="8" w:color="auto"/>
            </w:tcBorders>
          </w:tcPr>
          <w:p>
            <w:pPr>
              <w:spacing w:after="0"/>
              <w:rPr>
                <w:sz w:val="18"/>
                <w:szCs w:val="18"/>
                <w:color w:val="auto"/>
              </w:rPr>
            </w:pPr>
          </w:p>
        </w:tc>
        <w:tc>
          <w:tcPr>
            <w:tcW w:w="6700" w:type="dxa"/>
            <w:vAlign w:val="bottom"/>
            <w:gridSpan w:val="5"/>
          </w:tcPr>
          <w:p>
            <w:pPr>
              <w:ind w:left="420"/>
              <w:spacing w:after="0"/>
              <w:rPr>
                <w:sz w:val="20"/>
                <w:szCs w:val="20"/>
                <w:color w:val="auto"/>
              </w:rPr>
            </w:pPr>
            <w:r>
              <w:rPr>
                <w:rFonts w:ascii="Arial" w:cs="Arial" w:eastAsia="Arial" w:hAnsi="Arial"/>
                <w:sz w:val="18"/>
                <w:szCs w:val="18"/>
                <w:color w:val="auto"/>
              </w:rPr>
              <w:t>option to purchase additional shares of Class A common stock in full).</w:t>
            </w:r>
          </w:p>
        </w:tc>
        <w:tc>
          <w:tcPr>
            <w:tcW w:w="9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316"/>
        </w:trPr>
        <w:tc>
          <w:tcPr>
            <w:tcW w:w="26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Exchange rights</w:t>
            </w:r>
          </w:p>
        </w:tc>
        <w:tc>
          <w:tcPr>
            <w:tcW w:w="8360" w:type="dxa"/>
            <w:vAlign w:val="bottom"/>
            <w:tcBorders>
              <w:right w:val="single" w:sz="8" w:color="auto"/>
            </w:tcBorders>
            <w:gridSpan w:val="7"/>
          </w:tcPr>
          <w:p>
            <w:pPr>
              <w:ind w:left="420"/>
              <w:spacing w:after="0"/>
              <w:rPr>
                <w:sz w:val="20"/>
                <w:szCs w:val="20"/>
                <w:color w:val="auto"/>
              </w:rPr>
            </w:pPr>
            <w:r>
              <w:rPr>
                <w:rFonts w:ascii="Arial" w:cs="Arial" w:eastAsia="Arial" w:hAnsi="Arial"/>
                <w:sz w:val="18"/>
                <w:szCs w:val="18"/>
                <w:color w:val="auto"/>
                <w:w w:val="97"/>
              </w:rPr>
              <w:t>We have an exchange agreement with Insignia and the Senior Executives, which each hold Class B-1</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9"/>
              </w:rPr>
              <w:t>units. Pursuant to and subject to the terms of the exchange agreement and the fourth amended and</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rPr>
              <w:t>restated limited liability company agreement of QL Holdings LLC, holders of Class B-1 units, from</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8"/>
              </w:rPr>
              <w:t>time to time, may exchange one Class B-1 unit, together with the corresponding share of our Class B</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8"/>
              </w:rPr>
              <w:t>common stock, for one share of our Class A common stock (or, at our election, cash of an equivalent</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8"/>
              </w:rPr>
              <w:t>value). The amount of Class A common stock issued or conveyed is subject to equitable adjustments</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8"/>
              </w:rPr>
              <w:t>for stock splits, stock dividends, reclassifications, and other similar transactions. See “Organizational</w:t>
            </w: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9"/>
              </w:rPr>
              <w:t>structure—Fourth amended and restated limited liability company agreement of QL Holdings LLC—</w:t>
            </w:r>
          </w:p>
        </w:tc>
      </w:tr>
      <w:tr>
        <w:trPr>
          <w:trHeight w:val="211"/>
        </w:trPr>
        <w:tc>
          <w:tcPr>
            <w:tcW w:w="2660" w:type="dxa"/>
            <w:vAlign w:val="bottom"/>
            <w:tcBorders>
              <w:left w:val="single" w:sz="8" w:color="auto"/>
            </w:tcBorders>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Exchange agreement.”</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316"/>
        </w:trPr>
        <w:tc>
          <w:tcPr>
            <w:tcW w:w="26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Tax receivables agreement</w:t>
            </w:r>
          </w:p>
        </w:tc>
        <w:tc>
          <w:tcPr>
            <w:tcW w:w="8360" w:type="dxa"/>
            <w:vAlign w:val="bottom"/>
            <w:tcBorders>
              <w:right w:val="single" w:sz="8" w:color="auto"/>
            </w:tcBorders>
            <w:gridSpan w:val="7"/>
          </w:tcPr>
          <w:p>
            <w:pPr>
              <w:ind w:left="420"/>
              <w:spacing w:after="0"/>
              <w:rPr>
                <w:sz w:val="20"/>
                <w:szCs w:val="20"/>
                <w:color w:val="auto"/>
              </w:rPr>
            </w:pPr>
            <w:r>
              <w:rPr>
                <w:rFonts w:ascii="Arial" w:cs="Arial" w:eastAsia="Arial" w:hAnsi="Arial"/>
                <w:sz w:val="18"/>
                <w:szCs w:val="18"/>
                <w:color w:val="auto"/>
              </w:rPr>
              <w:t>Pursuant to a tax receivables agreement we entered into with Insignia, the Senior Executives, and</w:t>
            </w:r>
          </w:p>
        </w:tc>
      </w:tr>
      <w:tr>
        <w:trPr>
          <w:trHeight w:val="203"/>
        </w:trPr>
        <w:tc>
          <w:tcPr>
            <w:tcW w:w="2660" w:type="dxa"/>
            <w:vAlign w:val="bottom"/>
            <w:tcBorders>
              <w:left w:val="single" w:sz="8" w:color="auto"/>
            </w:tcBorders>
          </w:tcPr>
          <w:p>
            <w:pPr>
              <w:spacing w:after="0"/>
              <w:rPr>
                <w:sz w:val="17"/>
                <w:szCs w:val="17"/>
                <w:color w:val="auto"/>
              </w:rPr>
            </w:pPr>
          </w:p>
        </w:tc>
        <w:tc>
          <w:tcPr>
            <w:tcW w:w="7600" w:type="dxa"/>
            <w:vAlign w:val="bottom"/>
            <w:gridSpan w:val="6"/>
          </w:tcPr>
          <w:p>
            <w:pPr>
              <w:ind w:left="420"/>
              <w:spacing w:after="0" w:line="202" w:lineRule="exact"/>
              <w:rPr>
                <w:sz w:val="20"/>
                <w:szCs w:val="20"/>
                <w:color w:val="auto"/>
              </w:rPr>
            </w:pPr>
            <w:r>
              <w:rPr>
                <w:rFonts w:ascii="Arial" w:cs="Arial" w:eastAsia="Arial" w:hAnsi="Arial"/>
                <w:sz w:val="18"/>
                <w:szCs w:val="18"/>
                <w:color w:val="auto"/>
                <w:w w:val="98"/>
              </w:rPr>
              <w:t>White Mountains in connection with the IPO, we are required to pay Insignia and the Senior</w:t>
            </w:r>
          </w:p>
        </w:tc>
        <w:tc>
          <w:tcPr>
            <w:tcW w:w="760" w:type="dxa"/>
            <w:vAlign w:val="bottom"/>
            <w:tcBorders>
              <w:right w:val="single" w:sz="8" w:color="auto"/>
            </w:tcBorders>
          </w:tcPr>
          <w:p>
            <w:pPr>
              <w:spacing w:after="0"/>
              <w:rPr>
                <w:sz w:val="17"/>
                <w:szCs w:val="17"/>
                <w:color w:val="auto"/>
              </w:rPr>
            </w:pPr>
          </w:p>
        </w:tc>
      </w:tr>
      <w:tr>
        <w:trPr>
          <w:trHeight w:val="203"/>
        </w:trPr>
        <w:tc>
          <w:tcPr>
            <w:tcW w:w="2660" w:type="dxa"/>
            <w:vAlign w:val="bottom"/>
            <w:tcBorders>
              <w:left w:val="single" w:sz="8" w:color="auto"/>
            </w:tcBorders>
          </w:tcPr>
          <w:p>
            <w:pPr>
              <w:spacing w:after="0"/>
              <w:rPr>
                <w:sz w:val="17"/>
                <w:szCs w:val="17"/>
                <w:color w:val="auto"/>
              </w:rPr>
            </w:pPr>
          </w:p>
        </w:tc>
        <w:tc>
          <w:tcPr>
            <w:tcW w:w="8360" w:type="dxa"/>
            <w:vAlign w:val="bottom"/>
            <w:tcBorders>
              <w:right w:val="single" w:sz="8" w:color="auto"/>
            </w:tcBorders>
            <w:gridSpan w:val="7"/>
          </w:tcPr>
          <w:p>
            <w:pPr>
              <w:ind w:left="420"/>
              <w:spacing w:after="0" w:line="202" w:lineRule="exact"/>
              <w:rPr>
                <w:sz w:val="20"/>
                <w:szCs w:val="20"/>
                <w:color w:val="auto"/>
              </w:rPr>
            </w:pPr>
            <w:r>
              <w:rPr>
                <w:rFonts w:ascii="Arial" w:cs="Arial" w:eastAsia="Arial" w:hAnsi="Arial"/>
                <w:sz w:val="18"/>
                <w:szCs w:val="18"/>
                <w:color w:val="auto"/>
                <w:w w:val="97"/>
              </w:rPr>
              <w:t>Executives 85% of the cash savings, if any, in U.S. federal, state, and local income tax that we realize</w:t>
            </w:r>
          </w:p>
        </w:tc>
      </w:tr>
      <w:tr>
        <w:trPr>
          <w:trHeight w:val="196"/>
        </w:trPr>
        <w:tc>
          <w:tcPr>
            <w:tcW w:w="2660" w:type="dxa"/>
            <w:vAlign w:val="bottom"/>
            <w:tcBorders>
              <w:left w:val="single" w:sz="8" w:color="auto"/>
              <w:bottom w:val="single" w:sz="8" w:color="auto"/>
            </w:tcBorders>
          </w:tcPr>
          <w:p>
            <w:pPr>
              <w:spacing w:after="0"/>
              <w:rPr>
                <w:sz w:val="17"/>
                <w:szCs w:val="17"/>
                <w:color w:val="auto"/>
              </w:rPr>
            </w:pPr>
          </w:p>
        </w:tc>
        <w:tc>
          <w:tcPr>
            <w:tcW w:w="7600" w:type="dxa"/>
            <w:vAlign w:val="bottom"/>
            <w:tcBorders>
              <w:bottom w:val="single" w:sz="8" w:color="auto"/>
            </w:tcBorders>
            <w:gridSpan w:val="6"/>
          </w:tcPr>
          <w:p>
            <w:pPr>
              <w:ind w:left="420"/>
              <w:spacing w:after="0" w:line="196" w:lineRule="exact"/>
              <w:rPr>
                <w:sz w:val="20"/>
                <w:szCs w:val="20"/>
                <w:color w:val="auto"/>
              </w:rPr>
            </w:pPr>
            <w:r>
              <w:rPr>
                <w:rFonts w:ascii="Arial" w:cs="Arial" w:eastAsia="Arial" w:hAnsi="Arial"/>
                <w:sz w:val="18"/>
                <w:szCs w:val="18"/>
                <w:color w:val="auto"/>
                <w:w w:val="97"/>
              </w:rPr>
              <w:t>(or are deemed to realize) as a result of (i) any increases in tax basis following our purchase</w:t>
            </w:r>
          </w:p>
        </w:tc>
        <w:tc>
          <w:tcPr>
            <w:tcW w:w="760" w:type="dxa"/>
            <w:vAlign w:val="bottom"/>
            <w:tcBorders>
              <w:bottom w:val="single" w:sz="8" w:color="auto"/>
              <w:right w:val="single" w:sz="8" w:color="auto"/>
            </w:tcBorders>
          </w:tcPr>
          <w:p>
            <w:pPr>
              <w:spacing w:after="0"/>
              <w:rPr>
                <w:sz w:val="17"/>
                <w:szCs w:val="17"/>
                <w:color w:val="auto"/>
              </w:rPr>
            </w:pPr>
          </w:p>
        </w:tc>
      </w:tr>
      <w:tr>
        <w:trPr>
          <w:trHeight w:val="359"/>
        </w:trPr>
        <w:tc>
          <w:tcPr>
            <w:tcW w:w="2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0" w:type="dxa"/>
            <w:vAlign w:val="bottom"/>
          </w:tcPr>
          <w:p>
            <w:pPr>
              <w:jc w:val="right"/>
              <w:ind w:right="2012"/>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37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102235</wp:posOffset>
            </wp:positionV>
            <wp:extent cx="6998970" cy="4316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line="264" w:lineRule="auto"/>
        <w:rPr>
          <w:sz w:val="20"/>
          <w:szCs w:val="20"/>
          <w:color w:val="auto"/>
        </w:rPr>
      </w:pPr>
      <w:r>
        <w:rPr>
          <w:rFonts w:ascii="Arial" w:cs="Arial" w:eastAsia="Arial" w:hAnsi="Arial"/>
          <w:sz w:val="18"/>
          <w:szCs w:val="18"/>
          <w:b w:val="1"/>
          <w:bCs w:val="1"/>
          <w:color w:val="auto"/>
        </w:rPr>
        <w:t>IPO lock-up release; new lock-up agreement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(through Intermediate Holdco) of Class B-1 units from certain unitholders (including the Selling Class B-1 Unit Holders) in connection with the IPO, as well as any post-IPO exchanges (including in connection with this offering) of Class B-1 units, together with an equal number of shares of our Class B common stock, for shares of our Class A common stock (or, at our election, cash of an equivalent value), (ii) the Pre-IPO Leveraged Distribution (as defined in the section of this prospectus titled “Organizational structure”) and other actual or deemed distributions by QL Holdings LLC to its members that result in tax basis adjustments to the assets of QL Holdings LLC, and (iii) certain other tax benefits attributable to payments under the tax receivables agreement itself. 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 See “Organizational structure—Tax receivables agreement.”</w:t>
      </w:r>
    </w:p>
    <w:p>
      <w:pPr>
        <w:spacing w:after="0" w:line="31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In connection with this offering, J.P. Morgan Securities LLC and Citigroup Global Markets Inc., as representatives of the several underwriters in the IPO, have agreed to release the restrictions under the lock-up agreements that were executed in connection with the IPO with respect to up to</w:t>
      </w:r>
    </w:p>
    <w:p>
      <w:pPr>
        <w:ind w:right="40"/>
        <w:spacing w:after="0" w:line="235" w:lineRule="auto"/>
        <w:rPr>
          <w:sz w:val="20"/>
          <w:szCs w:val="20"/>
          <w:color w:val="auto"/>
        </w:rPr>
      </w:pPr>
      <w:r>
        <w:rPr>
          <w:rFonts w:ascii="Arial" w:cs="Arial" w:eastAsia="Arial" w:hAnsi="Arial"/>
          <w:sz w:val="18"/>
          <w:szCs w:val="18"/>
          <w:color w:val="auto"/>
        </w:rPr>
        <w:t>shares (or up to shares including the underwriters’ option to purchase additional shares) of our Class A common stock in this offering that are held by the selling stockholders (including after giving effect to the exchanges described above), provided that the release of shares of our Class A common stock held by the selling stockholders is limited to the shares actually sold in this offering. Additionally, the selling stockholders will enter into new lock-up agreements with J.P. Morgan Securities LLC and Citigroup Global Markets Inc., as representatives of the several underwriters in this offering, pursuant to which the selling stockholders, for a period of 90 days after the date of this prospectus, may not (and may not cause any of their direct or indirect affiliates to), sell their remaining shares following the completion of this offering, subject to certain provisions and exceptions. See “Underwriting.”</w:t>
      </w:r>
    </w:p>
    <w:p>
      <w:pPr>
        <w:spacing w:after="0" w:line="111" w:lineRule="exact"/>
        <w:rPr>
          <w:sz w:val="20"/>
          <w:szCs w:val="20"/>
          <w:color w:val="auto"/>
        </w:rPr>
      </w:pPr>
    </w:p>
    <w:p>
      <w:pPr>
        <w:sectPr>
          <w:pgSz w:w="11900" w:h="16838" w:orient="portrait"/>
          <w:cols w:equalWidth="0" w:num="2">
            <w:col w:w="2880" w:space="320"/>
            <w:col w:w="79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Use of proceeds</w:t>
            </w:r>
          </w:p>
        </w:tc>
        <w:tc>
          <w:tcPr>
            <w:tcW w:w="8800" w:type="dxa"/>
            <w:vAlign w:val="bottom"/>
          </w:tcPr>
          <w:p>
            <w:pPr>
              <w:ind w:left="860"/>
              <w:spacing w:after="0"/>
              <w:rPr>
                <w:sz w:val="20"/>
                <w:szCs w:val="20"/>
                <w:color w:val="auto"/>
              </w:rPr>
            </w:pPr>
            <w:r>
              <w:rPr>
                <w:rFonts w:ascii="Arial" w:cs="Arial" w:eastAsia="Arial" w:hAnsi="Arial"/>
                <w:sz w:val="18"/>
                <w:szCs w:val="18"/>
                <w:color w:val="auto"/>
                <w:w w:val="99"/>
              </w:rPr>
              <w:t>We are not offering any shares of Class A common stock for sale under this prospectus. The selling</w:t>
            </w:r>
          </w:p>
        </w:tc>
      </w:tr>
      <w:tr>
        <w:trPr>
          <w:trHeight w:val="203"/>
        </w:trPr>
        <w:tc>
          <w:tcPr>
            <w:tcW w:w="222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stockholders will receive all of the net proceeds from the sale of shares of Class A common stock in</w:t>
            </w:r>
          </w:p>
        </w:tc>
      </w:tr>
      <w:tr>
        <w:trPr>
          <w:trHeight w:val="202"/>
        </w:trPr>
        <w:tc>
          <w:tcPr>
            <w:tcW w:w="222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this offering. We will not receive any proceeds from the sale of shares of Class A common stock by</w:t>
            </w:r>
          </w:p>
        </w:tc>
      </w:tr>
      <w:tr>
        <w:trPr>
          <w:trHeight w:val="203"/>
        </w:trPr>
        <w:tc>
          <w:tcPr>
            <w:tcW w:w="222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w w:val="98"/>
              </w:rPr>
              <w:t>the selling stockholders or if the underwriters exercise their option to purchase additional shares. The</w:t>
            </w:r>
          </w:p>
        </w:tc>
      </w:tr>
      <w:tr>
        <w:trPr>
          <w:trHeight w:val="203"/>
        </w:trPr>
        <w:tc>
          <w:tcPr>
            <w:tcW w:w="222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selling stockholders will bear the underwriting discount attributable to their sale of our Class A</w:t>
            </w:r>
          </w:p>
        </w:tc>
      </w:tr>
      <w:tr>
        <w:trPr>
          <w:trHeight w:val="196"/>
        </w:trPr>
        <w:tc>
          <w:tcPr>
            <w:tcW w:w="2220" w:type="dxa"/>
            <w:vAlign w:val="bottom"/>
            <w:tcBorders>
              <w:bottom w:val="single" w:sz="8" w:color="auto"/>
            </w:tcBorders>
          </w:tcPr>
          <w:p>
            <w:pPr>
              <w:spacing w:after="0"/>
              <w:rPr>
                <w:sz w:val="17"/>
                <w:szCs w:val="17"/>
                <w:color w:val="auto"/>
              </w:rPr>
            </w:pPr>
          </w:p>
        </w:tc>
        <w:tc>
          <w:tcPr>
            <w:tcW w:w="8800" w:type="dxa"/>
            <w:vAlign w:val="bottom"/>
            <w:tcBorders>
              <w:bottom w:val="single" w:sz="8" w:color="auto"/>
            </w:tcBorders>
          </w:tcPr>
          <w:p>
            <w:pPr>
              <w:ind w:left="860"/>
              <w:spacing w:after="0" w:line="196" w:lineRule="exact"/>
              <w:rPr>
                <w:sz w:val="20"/>
                <w:szCs w:val="20"/>
                <w:color w:val="auto"/>
              </w:rPr>
            </w:pPr>
            <w:r>
              <w:rPr>
                <w:rFonts w:ascii="Arial" w:cs="Arial" w:eastAsia="Arial" w:hAnsi="Arial"/>
                <w:sz w:val="18"/>
                <w:szCs w:val="18"/>
                <w:color w:val="auto"/>
              </w:rPr>
              <w:t>common stock, and we will bear the remaining expenses. See “Use of Proceeds.”</w:t>
            </w:r>
          </w:p>
        </w:tc>
      </w:tr>
      <w:tr>
        <w:trPr>
          <w:trHeight w:val="359"/>
        </w:trPr>
        <w:tc>
          <w:tcPr>
            <w:tcW w:w="2220" w:type="dxa"/>
            <w:vAlign w:val="bottom"/>
          </w:tcPr>
          <w:p>
            <w:pPr>
              <w:spacing w:after="0"/>
              <w:rPr>
                <w:sz w:val="24"/>
                <w:szCs w:val="24"/>
                <w:color w:val="auto"/>
              </w:rPr>
            </w:pPr>
          </w:p>
        </w:tc>
        <w:tc>
          <w:tcPr>
            <w:tcW w:w="8800" w:type="dxa"/>
            <w:vAlign w:val="bottom"/>
          </w:tcPr>
          <w:p>
            <w:pPr>
              <w:ind w:left="31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8040" w:type="dxa"/>
            <w:vAlign w:val="bottom"/>
          </w:tcPr>
          <w:p>
            <w:pPr>
              <w:ind w:left="740"/>
              <w:spacing w:after="0"/>
              <w:rPr>
                <w:sz w:val="20"/>
                <w:szCs w:val="20"/>
                <w:color w:val="auto"/>
              </w:rPr>
            </w:pPr>
            <w:r>
              <w:rPr>
                <w:rFonts w:ascii="Arial" w:cs="Arial" w:eastAsia="Arial" w:hAnsi="Arial"/>
                <w:sz w:val="18"/>
                <w:szCs w:val="18"/>
                <w:b w:val="1"/>
                <w:bCs w:val="1"/>
                <w:color w:val="auto"/>
              </w:rPr>
              <w:t>CONFIDENTIAL TREATMENT REQUESTED</w:t>
            </w:r>
          </w:p>
        </w:tc>
      </w:tr>
      <w:tr>
        <w:trPr>
          <w:trHeight w:val="233"/>
        </w:trPr>
        <w:tc>
          <w:tcPr>
            <w:tcW w:w="2980" w:type="dxa"/>
            <w:vAlign w:val="bottom"/>
          </w:tcPr>
          <w:p>
            <w:pPr>
              <w:spacing w:after="0"/>
              <w:rPr>
                <w:sz w:val="20"/>
                <w:szCs w:val="20"/>
                <w:color w:val="auto"/>
              </w:rPr>
            </w:pPr>
          </w:p>
        </w:tc>
        <w:tc>
          <w:tcPr>
            <w:tcW w:w="8040" w:type="dxa"/>
            <w:vAlign w:val="bottom"/>
          </w:tcPr>
          <w:p>
            <w:pPr>
              <w:ind w:left="800"/>
              <w:spacing w:after="0"/>
              <w:rPr>
                <w:sz w:val="20"/>
                <w:szCs w:val="20"/>
                <w:color w:val="auto"/>
              </w:rPr>
            </w:pPr>
            <w:r>
              <w:rPr>
                <w:rFonts w:ascii="Arial" w:cs="Arial" w:eastAsia="Arial" w:hAnsi="Arial"/>
                <w:sz w:val="18"/>
                <w:szCs w:val="18"/>
                <w:b w:val="1"/>
                <w:bCs w:val="1"/>
                <w:color w:val="auto"/>
              </w:rPr>
              <w:t>PURSUANT TO 17 C.F.R. SECTION 200.83</w:t>
            </w:r>
          </w:p>
        </w:tc>
      </w:tr>
      <w:tr>
        <w:trPr>
          <w:trHeight w:val="134"/>
        </w:trPr>
        <w:tc>
          <w:tcPr>
            <w:tcW w:w="2980" w:type="dxa"/>
            <w:vAlign w:val="bottom"/>
            <w:tcBorders>
              <w:bottom w:val="single" w:sz="8" w:color="auto"/>
            </w:tcBorders>
          </w:tcPr>
          <w:p>
            <w:pPr>
              <w:spacing w:after="0"/>
              <w:rPr>
                <w:sz w:val="11"/>
                <w:szCs w:val="11"/>
                <w:color w:val="auto"/>
              </w:rPr>
            </w:pPr>
          </w:p>
        </w:tc>
        <w:tc>
          <w:tcPr>
            <w:tcW w:w="8040" w:type="dxa"/>
            <w:vAlign w:val="bottom"/>
            <w:tcBorders>
              <w:bottom w:val="single" w:sz="8" w:color="auto"/>
            </w:tcBorders>
          </w:tcPr>
          <w:p>
            <w:pPr>
              <w:spacing w:after="0"/>
              <w:rPr>
                <w:sz w:val="11"/>
                <w:szCs w:val="11"/>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Dividend policy</w:t>
            </w:r>
          </w:p>
        </w:tc>
        <w:tc>
          <w:tcPr>
            <w:tcW w:w="8040" w:type="dxa"/>
            <w:vAlign w:val="bottom"/>
          </w:tcPr>
          <w:p>
            <w:pPr>
              <w:ind w:left="100"/>
              <w:spacing w:after="0"/>
              <w:rPr>
                <w:sz w:val="20"/>
                <w:szCs w:val="20"/>
                <w:color w:val="auto"/>
              </w:rPr>
            </w:pPr>
            <w:r>
              <w:rPr>
                <w:rFonts w:ascii="Arial" w:cs="Arial" w:eastAsia="Arial" w:hAnsi="Arial"/>
                <w:sz w:val="18"/>
                <w:szCs w:val="18"/>
                <w:color w:val="auto"/>
              </w:rPr>
              <w:t>We do not anticipate declaring or paying any cash dividends on our capital stock in the foreseeable</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w w:val="99"/>
              </w:rPr>
              <w:t>future. Instead, we anticipate that all of our future earnings will be retained to support our operations</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w w:val="99"/>
              </w:rPr>
              <w:t>and finance the growth and development of our business. Any future determination to pay dividends</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rPr>
              <w:t>on our Class A common stock will be made by our Board of Directors and will depend upon our</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w w:val="98"/>
              </w:rPr>
              <w:t>results of operations, financial condition, capital requirements, regulatory constraints, and contractual</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w w:val="99"/>
              </w:rPr>
              <w:t>restrictions, our business strategy and other factors that our Board of Directors deems relevant. Our</w:t>
            </w:r>
          </w:p>
        </w:tc>
      </w:tr>
      <w:tr>
        <w:trPr>
          <w:trHeight w:val="211"/>
        </w:trPr>
        <w:tc>
          <w:tcPr>
            <w:tcW w:w="2980" w:type="dxa"/>
            <w:vAlign w:val="bottom"/>
          </w:tcPr>
          <w:p>
            <w:pPr>
              <w:spacing w:after="0"/>
              <w:rPr>
                <w:sz w:val="18"/>
                <w:szCs w:val="18"/>
                <w:color w:val="auto"/>
              </w:rPr>
            </w:pPr>
          </w:p>
        </w:tc>
        <w:tc>
          <w:tcPr>
            <w:tcW w:w="8040" w:type="dxa"/>
            <w:vAlign w:val="bottom"/>
          </w:tcPr>
          <w:p>
            <w:pPr>
              <w:ind w:left="100"/>
              <w:spacing w:after="0"/>
              <w:rPr>
                <w:sz w:val="20"/>
                <w:szCs w:val="20"/>
                <w:color w:val="auto"/>
              </w:rPr>
            </w:pPr>
            <w:r>
              <w:rPr>
                <w:rFonts w:ascii="Arial" w:cs="Arial" w:eastAsia="Arial" w:hAnsi="Arial"/>
                <w:sz w:val="18"/>
                <w:szCs w:val="18"/>
                <w:color w:val="auto"/>
              </w:rPr>
              <w:t>Class B common stock will not be entitled to any dividend payments. See “Dividend policy.”</w:t>
            </w:r>
          </w:p>
        </w:tc>
      </w:tr>
      <w:tr>
        <w:trPr>
          <w:trHeight w:val="316"/>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Controlled company</w:t>
            </w:r>
          </w:p>
        </w:tc>
        <w:tc>
          <w:tcPr>
            <w:tcW w:w="8040" w:type="dxa"/>
            <w:vAlign w:val="bottom"/>
          </w:tcPr>
          <w:p>
            <w:pPr>
              <w:ind w:left="100"/>
              <w:spacing w:after="0"/>
              <w:rPr>
                <w:sz w:val="20"/>
                <w:szCs w:val="20"/>
                <w:color w:val="auto"/>
              </w:rPr>
            </w:pPr>
            <w:r>
              <w:rPr>
                <w:rFonts w:ascii="Arial" w:cs="Arial" w:eastAsia="Arial" w:hAnsi="Arial"/>
                <w:sz w:val="18"/>
                <w:szCs w:val="18"/>
                <w:color w:val="auto"/>
                <w:w w:val="99"/>
              </w:rPr>
              <w:t>White Mountains, Insignia, and the Founders are each a party to a stockholders’ agreement and will</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rPr>
              <w:t>collectively own a majority of the voting power of our outstanding common stock following the</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rPr>
              <w:t>completion of this offering. Accordingly, we are considered a “controlled company” under the NYSE</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rPr>
              <w:t>rules. Under these rules, a “controlled company” may elect not to comply with certain corporate</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w w:val="97"/>
              </w:rPr>
              <w:t>governance requirements, including the requirement to have a board that is composed of a majority of</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w w:val="99"/>
              </w:rPr>
              <w:t>independent directors. We intend to take advantage of these exemptions for so long as we continue</w:t>
            </w:r>
          </w:p>
        </w:tc>
      </w:tr>
      <w:tr>
        <w:trPr>
          <w:trHeight w:val="211"/>
        </w:trPr>
        <w:tc>
          <w:tcPr>
            <w:tcW w:w="2980" w:type="dxa"/>
            <w:vAlign w:val="bottom"/>
          </w:tcPr>
          <w:p>
            <w:pPr>
              <w:spacing w:after="0"/>
              <w:rPr>
                <w:sz w:val="18"/>
                <w:szCs w:val="18"/>
                <w:color w:val="auto"/>
              </w:rPr>
            </w:pPr>
          </w:p>
        </w:tc>
        <w:tc>
          <w:tcPr>
            <w:tcW w:w="8040" w:type="dxa"/>
            <w:vAlign w:val="bottom"/>
          </w:tcPr>
          <w:p>
            <w:pPr>
              <w:ind w:left="100"/>
              <w:spacing w:after="0"/>
              <w:rPr>
                <w:sz w:val="20"/>
                <w:szCs w:val="20"/>
                <w:color w:val="auto"/>
              </w:rPr>
            </w:pPr>
            <w:r>
              <w:rPr>
                <w:rFonts w:ascii="Arial" w:cs="Arial" w:eastAsia="Arial" w:hAnsi="Arial"/>
                <w:sz w:val="18"/>
                <w:szCs w:val="18"/>
                <w:color w:val="auto"/>
              </w:rPr>
              <w:t>to qualify as a “controlled company.” See “Management—Controlled company.”</w:t>
            </w:r>
          </w:p>
        </w:tc>
      </w:tr>
      <w:tr>
        <w:trPr>
          <w:trHeight w:val="464"/>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Risk factors</w:t>
            </w:r>
          </w:p>
        </w:tc>
        <w:tc>
          <w:tcPr>
            <w:tcW w:w="8040" w:type="dxa"/>
            <w:vAlign w:val="bottom"/>
          </w:tcPr>
          <w:p>
            <w:pPr>
              <w:ind w:left="100"/>
              <w:spacing w:after="0"/>
              <w:rPr>
                <w:sz w:val="20"/>
                <w:szCs w:val="20"/>
                <w:color w:val="auto"/>
              </w:rPr>
            </w:pPr>
            <w:r>
              <w:rPr>
                <w:rFonts w:ascii="Arial" w:cs="Arial" w:eastAsia="Arial" w:hAnsi="Arial"/>
                <w:sz w:val="18"/>
                <w:szCs w:val="18"/>
                <w:color w:val="auto"/>
                <w:w w:val="97"/>
              </w:rPr>
              <w:t>You should read the “Risk factors” section beginning on page 22 and the other information included in</w:t>
            </w:r>
          </w:p>
        </w:tc>
      </w:tr>
      <w:tr>
        <w:trPr>
          <w:trHeight w:val="203"/>
        </w:trPr>
        <w:tc>
          <w:tcPr>
            <w:tcW w:w="2980" w:type="dxa"/>
            <w:vAlign w:val="bottom"/>
          </w:tcPr>
          <w:p>
            <w:pPr>
              <w:spacing w:after="0"/>
              <w:rPr>
                <w:sz w:val="17"/>
                <w:szCs w:val="17"/>
                <w:color w:val="auto"/>
              </w:rPr>
            </w:pPr>
          </w:p>
        </w:tc>
        <w:tc>
          <w:tcPr>
            <w:tcW w:w="8040" w:type="dxa"/>
            <w:vAlign w:val="bottom"/>
          </w:tcPr>
          <w:p>
            <w:pPr>
              <w:ind w:left="100"/>
              <w:spacing w:after="0" w:line="202" w:lineRule="exact"/>
              <w:rPr>
                <w:sz w:val="20"/>
                <w:szCs w:val="20"/>
                <w:color w:val="auto"/>
              </w:rPr>
            </w:pPr>
            <w:r>
              <w:rPr>
                <w:rFonts w:ascii="Arial" w:cs="Arial" w:eastAsia="Arial" w:hAnsi="Arial"/>
                <w:sz w:val="18"/>
                <w:szCs w:val="18"/>
                <w:color w:val="auto"/>
              </w:rPr>
              <w:t>this prospectus for a discussion of factors to consider before deciding to invest in shares of our</w:t>
            </w:r>
          </w:p>
        </w:tc>
      </w:tr>
      <w:tr>
        <w:trPr>
          <w:trHeight w:val="211"/>
        </w:trPr>
        <w:tc>
          <w:tcPr>
            <w:tcW w:w="2980" w:type="dxa"/>
            <w:vAlign w:val="bottom"/>
          </w:tcPr>
          <w:p>
            <w:pPr>
              <w:spacing w:after="0"/>
              <w:rPr>
                <w:sz w:val="18"/>
                <w:szCs w:val="18"/>
                <w:color w:val="auto"/>
              </w:rPr>
            </w:pPr>
          </w:p>
        </w:tc>
        <w:tc>
          <w:tcPr>
            <w:tcW w:w="8040" w:type="dxa"/>
            <w:vAlign w:val="bottom"/>
          </w:tcPr>
          <w:p>
            <w:pPr>
              <w:ind w:left="100"/>
              <w:spacing w:after="0"/>
              <w:rPr>
                <w:sz w:val="20"/>
                <w:szCs w:val="20"/>
                <w:color w:val="auto"/>
              </w:rPr>
            </w:pPr>
            <w:r>
              <w:rPr>
                <w:rFonts w:ascii="Arial" w:cs="Arial" w:eastAsia="Arial" w:hAnsi="Arial"/>
                <w:sz w:val="18"/>
                <w:szCs w:val="18"/>
                <w:color w:val="auto"/>
              </w:rPr>
              <w:t>Class A common stock.</w:t>
            </w:r>
          </w:p>
        </w:tc>
      </w:tr>
      <w:tr>
        <w:trPr>
          <w:trHeight w:val="324"/>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Listing</w:t>
            </w:r>
          </w:p>
        </w:tc>
        <w:tc>
          <w:tcPr>
            <w:tcW w:w="8040" w:type="dxa"/>
            <w:vAlign w:val="bottom"/>
          </w:tcPr>
          <w:p>
            <w:pPr>
              <w:ind w:left="100"/>
              <w:spacing w:after="0"/>
              <w:rPr>
                <w:sz w:val="20"/>
                <w:szCs w:val="20"/>
                <w:color w:val="auto"/>
              </w:rPr>
            </w:pPr>
            <w:r>
              <w:rPr>
                <w:rFonts w:ascii="Arial" w:cs="Arial" w:eastAsia="Arial" w:hAnsi="Arial"/>
                <w:sz w:val="18"/>
                <w:szCs w:val="18"/>
                <w:color w:val="auto"/>
              </w:rPr>
              <w:t>Our Class A common stock is listed and traded on the NYSE under the symbol “MAX.”</w:t>
            </w:r>
          </w:p>
        </w:tc>
      </w:tr>
      <w:tr>
        <w:trPr>
          <w:trHeight w:val="316"/>
        </w:trPr>
        <w:tc>
          <w:tcPr>
            <w:tcW w:w="11020" w:type="dxa"/>
            <w:vAlign w:val="bottom"/>
            <w:gridSpan w:val="2"/>
          </w:tcPr>
          <w:p>
            <w:pPr>
              <w:ind w:left="20"/>
              <w:spacing w:after="0"/>
              <w:rPr>
                <w:sz w:val="20"/>
                <w:szCs w:val="20"/>
                <w:color w:val="auto"/>
              </w:rPr>
            </w:pPr>
            <w:r>
              <w:rPr>
                <w:rFonts w:ascii="Arial" w:cs="Arial" w:eastAsia="Arial" w:hAnsi="Arial"/>
                <w:sz w:val="18"/>
                <w:szCs w:val="18"/>
                <w:color w:val="auto"/>
              </w:rPr>
              <w:t>The number of shares of our Class A common stock and Class B common stock to be outstanding after this offering is based on</w:t>
            </w:r>
          </w:p>
        </w:tc>
      </w:tr>
      <w:tr>
        <w:trPr>
          <w:trHeight w:val="211"/>
        </w:trPr>
        <w:tc>
          <w:tcPr>
            <w:tcW w:w="2980" w:type="dxa"/>
            <w:vAlign w:val="bottom"/>
          </w:tcPr>
          <w:p>
            <w:pPr>
              <w:ind w:left="20"/>
              <w:spacing w:after="0"/>
              <w:rPr>
                <w:sz w:val="20"/>
                <w:szCs w:val="20"/>
                <w:color w:val="auto"/>
              </w:rPr>
            </w:pPr>
            <w:r>
              <w:rPr>
                <w:rFonts w:ascii="Arial" w:cs="Arial" w:eastAsia="Arial" w:hAnsi="Arial"/>
                <w:sz w:val="18"/>
                <w:szCs w:val="18"/>
                <w:color w:val="auto"/>
                <w:w w:val="98"/>
              </w:rPr>
              <w:t>shares of Class A common stock and</w:t>
            </w:r>
          </w:p>
        </w:tc>
        <w:tc>
          <w:tcPr>
            <w:tcW w:w="8040" w:type="dxa"/>
            <w:vAlign w:val="bottom"/>
          </w:tcPr>
          <w:p>
            <w:pPr>
              <w:ind w:left="600"/>
              <w:spacing w:after="0"/>
              <w:rPr>
                <w:sz w:val="20"/>
                <w:szCs w:val="20"/>
                <w:color w:val="auto"/>
              </w:rPr>
            </w:pPr>
            <w:r>
              <w:rPr>
                <w:rFonts w:ascii="Arial" w:cs="Arial" w:eastAsia="Arial" w:hAnsi="Arial"/>
                <w:sz w:val="18"/>
                <w:szCs w:val="18"/>
                <w:color w:val="auto"/>
                <w:w w:val="99"/>
              </w:rPr>
              <w:t>shares of Class B common stock issued and outstanding as of the date hereof, and excludes: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-3000375</wp:posOffset>
            </wp:positionV>
            <wp:extent cx="6998970" cy="4204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4204335"/>
                    </a:xfrm>
                    <a:prstGeom prst="rect">
                      <a:avLst/>
                    </a:prstGeom>
                    <a:noFill/>
                  </pic:spPr>
                </pic:pic>
              </a:graphicData>
            </a:graphic>
          </wp:anchor>
        </w:drawing>
      </w:r>
    </w:p>
    <w:p>
      <w:pPr>
        <w:spacing w:after="0" w:line="93" w:lineRule="exact"/>
        <w:rPr>
          <w:sz w:val="20"/>
          <w:szCs w:val="20"/>
          <w:color w:val="auto"/>
        </w:rPr>
      </w:pPr>
    </w:p>
    <w:p>
      <w:pPr>
        <w:ind w:left="360" w:right="60" w:hanging="226"/>
        <w:spacing w:after="0" w:line="239" w:lineRule="auto"/>
        <w:tabs>
          <w:tab w:leader="none" w:pos="9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Class A common stock that are issuable upon exchanges of Class B-1 units (together with an equal number of shares of our Class B common stock) that will be outstanding immediately after the completion of this offering;</w:t>
      </w:r>
    </w:p>
    <w:p>
      <w:pPr>
        <w:spacing w:after="0" w:line="114" w:lineRule="exact"/>
        <w:rPr>
          <w:rFonts w:ascii="Arial" w:cs="Arial" w:eastAsia="Arial" w:hAnsi="Arial"/>
          <w:sz w:val="18"/>
          <w:szCs w:val="18"/>
          <w:color w:val="auto"/>
        </w:rPr>
      </w:pPr>
    </w:p>
    <w:p>
      <w:pPr>
        <w:ind w:left="980" w:hanging="84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Class A common stock issuable upon the vesting of outstanding equity awards; and</w:t>
      </w:r>
    </w:p>
    <w:p>
      <w:pPr>
        <w:spacing w:after="0" w:line="117" w:lineRule="exact"/>
        <w:rPr>
          <w:rFonts w:ascii="Arial" w:cs="Arial" w:eastAsia="Arial" w:hAnsi="Arial"/>
          <w:sz w:val="18"/>
          <w:szCs w:val="18"/>
          <w:color w:val="auto"/>
        </w:rPr>
      </w:pPr>
    </w:p>
    <w:p>
      <w:pPr>
        <w:ind w:left="360" w:right="220" w:hanging="226"/>
        <w:spacing w:after="0" w:line="239" w:lineRule="auto"/>
        <w:tabs>
          <w:tab w:leader="none" w:pos="9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Class A common stock reserved for issuance under our Omnibus Incentive Plan (see “Executive compensation—2020 Omnibus incentive plan”).</w:t>
      </w:r>
    </w:p>
    <w:p>
      <w:pPr>
        <w:spacing w:after="0" w:line="101" w:lineRule="exact"/>
        <w:rPr>
          <w:sz w:val="20"/>
          <w:szCs w:val="20"/>
          <w:color w:val="auto"/>
        </w:rPr>
      </w:pPr>
    </w:p>
    <w:p>
      <w:pPr>
        <w:ind w:left="140" w:right="220"/>
        <w:spacing w:after="0" w:line="239" w:lineRule="auto"/>
        <w:rPr>
          <w:sz w:val="20"/>
          <w:szCs w:val="20"/>
          <w:color w:val="auto"/>
        </w:rPr>
      </w:pPr>
      <w:r>
        <w:rPr>
          <w:rFonts w:ascii="Arial" w:cs="Arial" w:eastAsia="Arial" w:hAnsi="Arial"/>
          <w:sz w:val="18"/>
          <w:szCs w:val="18"/>
          <w:color w:val="auto"/>
        </w:rPr>
        <w:t>Except as otherwise noted, all information in this prospectus assumes no exercise by the underwriters of their option to purchase additional shares.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auto"/>
        </w:rPr>
        <w:t>Summary consolidated financial and 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-229235</wp:posOffset>
            </wp:positionV>
            <wp:extent cx="6998970" cy="36302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3630295"/>
                    </a:xfrm>
                    <a:prstGeom prst="rect">
                      <a:avLst/>
                    </a:prstGeom>
                    <a:noFill/>
                  </pic:spPr>
                </pic:pic>
              </a:graphicData>
            </a:graphic>
          </wp:anchor>
        </w:drawing>
      </w:r>
    </w:p>
    <w:p>
      <w:pPr>
        <w:spacing w:after="0" w:line="119" w:lineRule="exact"/>
        <w:rPr>
          <w:sz w:val="20"/>
          <w:szCs w:val="20"/>
          <w:color w:val="auto"/>
        </w:rPr>
      </w:pPr>
    </w:p>
    <w:p>
      <w:pPr>
        <w:ind w:left="140" w:right="100"/>
        <w:spacing w:after="0" w:line="239" w:lineRule="auto"/>
        <w:rPr>
          <w:sz w:val="20"/>
          <w:szCs w:val="20"/>
          <w:color w:val="auto"/>
        </w:rPr>
      </w:pPr>
      <w:r>
        <w:rPr>
          <w:rFonts w:ascii="Arial" w:cs="Arial" w:eastAsia="Arial" w:hAnsi="Arial"/>
          <w:sz w:val="18"/>
          <w:szCs w:val="18"/>
          <w:i w:val="1"/>
          <w:iCs w:val="1"/>
          <w:color w:val="auto"/>
        </w:rPr>
        <w:t>Our business operates through QL Holdings LLC, together with its subsidiaries. MediaAlpha, Inc. was formed for the purpose of our IPO and had, prior to the IPO, engaged only in activities in contemplation of our IPO. For periods following the date of the IPO, the financial results of Intermediate Holdco and QL Holdings LLC will be consolidated in our financial statements. MediaAlpha, Inc. will continue to be a holding company whose sole material asset will be all of the shares of its wholly owned subsidiary, Intermediate Holdco, which will in turn own all of the Class A-1 units in QL Holdings LLC. For more information regarding the IPO reorganization and holding company structure, see “Organizational structure.”</w:t>
      </w:r>
    </w:p>
    <w:p>
      <w:pPr>
        <w:spacing w:after="0" w:line="86" w:lineRule="exact"/>
        <w:rPr>
          <w:sz w:val="20"/>
          <w:szCs w:val="20"/>
          <w:color w:val="auto"/>
        </w:rPr>
      </w:pPr>
    </w:p>
    <w:p>
      <w:pPr>
        <w:ind w:left="140" w:right="320"/>
        <w:spacing w:after="0" w:line="243" w:lineRule="auto"/>
        <w:rPr>
          <w:sz w:val="20"/>
          <w:szCs w:val="20"/>
          <w:color w:val="auto"/>
        </w:rPr>
      </w:pPr>
      <w:r>
        <w:rPr>
          <w:rFonts w:ascii="Arial" w:cs="Arial" w:eastAsia="Arial" w:hAnsi="Arial"/>
          <w:sz w:val="18"/>
          <w:szCs w:val="18"/>
          <w:i w:val="1"/>
          <w:iCs w:val="1"/>
          <w:color w:val="auto"/>
        </w:rPr>
        <w:t>The following tables present summary historical consolidated financial and operating data for QL Holdings LLC as of the dates and for the periods indicated, as well as certain pro forma and pro forma as adjusted financial data of MediaAlpha, Inc. The summary consolidated statements of operations data presented below for the fiscal year ended December 31, 2020 have been derived from the audited consolidated financial statements appearing at the end of this prospectus.</w:t>
      </w:r>
    </w:p>
    <w:p>
      <w:pPr>
        <w:spacing w:after="0" w:line="80" w:lineRule="exact"/>
        <w:rPr>
          <w:sz w:val="20"/>
          <w:szCs w:val="20"/>
          <w:color w:val="auto"/>
        </w:rPr>
      </w:pPr>
    </w:p>
    <w:p>
      <w:pPr>
        <w:ind w:left="140"/>
        <w:spacing w:after="0" w:line="237" w:lineRule="auto"/>
        <w:rPr>
          <w:sz w:val="20"/>
          <w:szCs w:val="20"/>
          <w:color w:val="auto"/>
        </w:rPr>
      </w:pPr>
      <w:r>
        <w:rPr>
          <w:rFonts w:ascii="Arial" w:cs="Arial" w:eastAsia="Arial" w:hAnsi="Arial"/>
          <w:sz w:val="18"/>
          <w:szCs w:val="18"/>
          <w:i w:val="1"/>
          <w:iCs w:val="1"/>
          <w:color w:val="auto"/>
        </w:rPr>
        <w:t>The unaudited pro forma consolidated statement of operations for the year ended December 31, 2020 presents the consolidated results of operations of MediaAlpha, Inc. after giving pro forma effect to the IPO reorganization and the IPO and as further adjusted for this offering as described under “Organizational structure’’ as if such transactions had occurred on January 1, 2020. The pro forma adjustments are based on available information and upon assumptions that our management believes are reasonable in order to reflect, on a pro forma basis, the impact of the IPO reorganization and the IPO and as further adjusted for this offering, on the historical financial information of QL Holdings LLC. The unaudited pro forma consolidated financial information is subject to change based on the number of common shares sold in this offering, and other terms of this offering determined at pricing. The unaudited pro forma consolidated financial information is included for informational purposes only and does not purport to reflect the results of operations or financial position of MediaAlpha, Inc. that would have occurred had it operated according to the organizational structure set forth herein as a standalone public company during the periods presented.</w:t>
      </w:r>
    </w:p>
    <w:p>
      <w:pPr>
        <w:spacing w:after="0" w:line="89" w:lineRule="exact"/>
        <w:rPr>
          <w:sz w:val="20"/>
          <w:szCs w:val="20"/>
          <w:color w:val="auto"/>
        </w:rPr>
      </w:pPr>
    </w:p>
    <w:p>
      <w:pPr>
        <w:ind w:left="140" w:right="340"/>
        <w:spacing w:after="0" w:line="283" w:lineRule="auto"/>
        <w:rPr>
          <w:sz w:val="20"/>
          <w:szCs w:val="20"/>
          <w:color w:val="auto"/>
        </w:rPr>
      </w:pPr>
      <w:r>
        <w:rPr>
          <w:rFonts w:ascii="Arial" w:cs="Arial" w:eastAsia="Arial" w:hAnsi="Arial"/>
          <w:sz w:val="16"/>
          <w:szCs w:val="16"/>
          <w:i w:val="1"/>
          <w:iCs w:val="1"/>
          <w:color w:val="auto"/>
        </w:rPr>
        <w:t>The summary historical financial and operating data and pro forma financial data presented below do not purport to be indicative of the results that can be expected for any future period and should be read together with the sections of this prospectus titled “Capitalization,” “Unaudited pro forma consolidated financial information,” and “Management’s discussion and analysis of financial condition and results of operations” and the audited consolidated financial statements and related notes appearing at the end of this prospectus.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68364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836410"/>
                    </a:xfrm>
                    <a:prstGeom prst="rect">
                      <a:avLst/>
                    </a:prstGeom>
                    <a:noFill/>
                  </pic:spPr>
                </pic:pic>
              </a:graphicData>
            </a:graphic>
          </wp:anchor>
        </w:drawing>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 2020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MediaAlpha, Inc.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pro forma for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MediaAlpha, Inc.</w:t>
            </w: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QL Holdings LLC</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pro forma for</w:t>
            </w: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reorganization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QL Holdings LLC</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offering</w:t>
            </w:r>
          </w:p>
        </w:tc>
        <w:tc>
          <w:tcPr>
            <w:tcW w:w="260" w:type="dxa"/>
            <w:vAlign w:val="bottom"/>
          </w:tcPr>
          <w:p>
            <w:pPr>
              <w:spacing w:after="0"/>
              <w:rPr>
                <w:sz w:val="12"/>
                <w:szCs w:val="12"/>
                <w:color w:val="auto"/>
              </w:rPr>
            </w:pPr>
          </w:p>
        </w:tc>
        <w:tc>
          <w:tcPr>
            <w:tcW w:w="11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and as adjusted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8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 of operations data (in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historical</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historical</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reorganization</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for offerings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Revenue</w:t>
            </w:r>
          </w:p>
        </w:tc>
        <w:tc>
          <w:tcPr>
            <w:tcW w:w="3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408,005</w:t>
            </w:r>
          </w:p>
        </w:tc>
        <w:tc>
          <w:tcPr>
            <w:tcW w:w="2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Costs and operating expenses: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342,909</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Sales and marketing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13,822</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Product development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7,042</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19,391</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operating expenses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383,164</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b w:val="1"/>
                <w:bCs w:val="1"/>
                <w:color w:val="auto"/>
              </w:rPr>
              <w:t>Income (loss) from operations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24,841</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(income), net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7,021</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b w:val="1"/>
                <w:bCs w:val="1"/>
                <w:color w:val="auto"/>
              </w:rPr>
              <w:t>Pretax income (loss)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17,820</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3"/>
                <w:szCs w:val="13"/>
                <w:b w:val="1"/>
                <w:bCs w:val="1"/>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17,820</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(loss) attributable to non-controlling interests</w:t>
            </w: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80" w:type="dxa"/>
            <w:vAlign w:val="bottom"/>
            <w:gridSpan w:val="2"/>
          </w:tcPr>
          <w:p>
            <w:pPr>
              <w:spacing w:after="0"/>
              <w:rPr>
                <w:sz w:val="20"/>
                <w:szCs w:val="20"/>
                <w:color w:val="auto"/>
              </w:rPr>
            </w:pPr>
            <w:r>
              <w:rPr>
                <w:rFonts w:ascii="Arial" w:cs="Arial" w:eastAsia="Arial" w:hAnsi="Arial"/>
                <w:sz w:val="13"/>
                <w:szCs w:val="13"/>
                <w:color w:val="auto"/>
              </w:rPr>
              <w:t>Net income (loss) attributable to stockholders of MediaAlpha, Inc.</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Pro forma weighted average common shares outstanding - basic</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Pro forma weighted average common shares outstanding - diluted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Pro forma net income (loss) per share - basic</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680" w:type="dxa"/>
            <w:vAlign w:val="bottom"/>
            <w:gridSpan w:val="2"/>
          </w:tcPr>
          <w:p>
            <w:pPr>
              <w:spacing w:after="0"/>
              <w:rPr>
                <w:sz w:val="20"/>
                <w:szCs w:val="20"/>
                <w:color w:val="auto"/>
              </w:rPr>
            </w:pPr>
            <w:r>
              <w:rPr>
                <w:rFonts w:ascii="Arial" w:cs="Arial" w:eastAsia="Arial" w:hAnsi="Arial"/>
                <w:sz w:val="13"/>
                <w:szCs w:val="13"/>
                <w:b w:val="1"/>
                <w:bCs w:val="1"/>
                <w:color w:val="auto"/>
              </w:rPr>
              <w:t>Consolidated balance sheet data (in thousands)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93"/>
              <w:spacing w:after="0" w:line="126"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3"/>
          </w:tcPr>
          <w:p>
            <w:pPr>
              <w:ind w:left="740"/>
              <w:spacing w:after="0"/>
              <w:rPr>
                <w:sz w:val="20"/>
                <w:szCs w:val="20"/>
                <w:color w:val="auto"/>
              </w:rPr>
            </w:pPr>
            <w:r>
              <w:rPr>
                <w:rFonts w:ascii="Arial" w:cs="Arial" w:eastAsia="Arial" w:hAnsi="Arial"/>
                <w:sz w:val="13"/>
                <w:szCs w:val="13"/>
                <w:b w:val="1"/>
                <w:bCs w:val="1"/>
                <w:color w:val="auto"/>
              </w:rPr>
              <w:t>QL Holdings LLC</w:t>
            </w: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3"/>
                <w:szCs w:val="13"/>
                <w:b w:val="1"/>
                <w:bCs w:val="1"/>
                <w:color w:val="auto"/>
              </w:rPr>
              <w:t>historical</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MediaAlpha, Inc.</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3"/>
                <w:szCs w:val="13"/>
                <w:b w:val="1"/>
                <w:bCs w:val="1"/>
                <w:color w:val="auto"/>
              </w:rPr>
              <w:t>(predecessor)</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(successor)</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10,028</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ind w:left="200"/>
              <w:spacing w:after="0"/>
              <w:rPr>
                <w:sz w:val="20"/>
                <w:szCs w:val="20"/>
                <w:color w:val="auto"/>
              </w:rPr>
            </w:pPr>
            <w:r>
              <w:rPr>
                <w:rFonts w:ascii="Arial" w:cs="Arial" w:eastAsia="Arial" w:hAnsi="Arial"/>
                <w:sz w:val="13"/>
                <w:szCs w:val="13"/>
                <w:color w:val="auto"/>
              </w:rPr>
              <w:t>Accounts receivable, net of allowance for doubtful accounts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56,012</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1,448</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400"/>
              <w:spacing w:after="0"/>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67,488</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755</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18,752</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18,402</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400"/>
              <w:spacing w:after="0"/>
              <w:rPr>
                <w:sz w:val="20"/>
                <w:szCs w:val="20"/>
                <w:color w:val="auto"/>
              </w:rPr>
            </w:pPr>
            <w:r>
              <w:rPr>
                <w:rFonts w:ascii="Arial" w:cs="Arial" w:eastAsia="Arial" w:hAnsi="Arial"/>
                <w:sz w:val="13"/>
                <w:szCs w:val="13"/>
                <w:color w:val="auto"/>
              </w:rPr>
              <w:t>Total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105,397</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Redeemable Class A Units and Members’/Stockholders’ Equity</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40,455</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ind w:left="200"/>
              <w:spacing w:after="0"/>
              <w:rPr>
                <w:sz w:val="20"/>
                <w:szCs w:val="20"/>
                <w:color w:val="auto"/>
              </w:rPr>
            </w:pPr>
            <w:r>
              <w:rPr>
                <w:rFonts w:ascii="Arial" w:cs="Arial" w:eastAsia="Arial" w:hAnsi="Arial"/>
                <w:sz w:val="13"/>
                <w:szCs w:val="13"/>
                <w:color w:val="auto"/>
              </w:rPr>
              <w:t>Accrued expenses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6,532</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873</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ind w:left="200"/>
              <w:spacing w:after="0"/>
              <w:rPr>
                <w:sz w:val="20"/>
                <w:szCs w:val="20"/>
                <w:color w:val="auto"/>
              </w:rPr>
            </w:pPr>
            <w:r>
              <w:rPr>
                <w:rFonts w:ascii="Arial" w:cs="Arial" w:eastAsia="Arial" w:hAnsi="Arial"/>
                <w:sz w:val="13"/>
                <w:szCs w:val="13"/>
                <w:color w:val="auto"/>
              </w:rPr>
              <w:t>Current portion of deferred rent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52</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current liabilities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47,912</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Long-term debt, net of current portion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96,665</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Deferred rent, net of current portion</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319</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Other long-term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liabilities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144,896</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Redeemable Class A units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74,097</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Members’/Stockholders’ (deficit) equity</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ind w:left="200"/>
              <w:spacing w:after="0"/>
              <w:rPr>
                <w:sz w:val="20"/>
                <w:szCs w:val="20"/>
                <w:color w:val="auto"/>
              </w:rPr>
            </w:pPr>
            <w:r>
              <w:rPr>
                <w:rFonts w:ascii="Arial" w:cs="Arial" w:eastAsia="Arial" w:hAnsi="Arial"/>
                <w:sz w:val="13"/>
                <w:szCs w:val="13"/>
                <w:color w:val="auto"/>
              </w:rPr>
              <w:t>Class A units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93"/>
              <w:spacing w:after="0"/>
              <w:rPr>
                <w:sz w:val="20"/>
                <w:szCs w:val="20"/>
                <w:color w:val="auto"/>
              </w:rPr>
            </w:pPr>
            <w:r>
              <w:rPr>
                <w:rFonts w:ascii="Arial" w:cs="Arial" w:eastAsia="Arial" w:hAnsi="Arial"/>
                <w:sz w:val="13"/>
                <w:szCs w:val="13"/>
                <w:color w:val="auto"/>
              </w:rPr>
              <w:t>73,003</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 B units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6,544</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ind w:left="200"/>
              <w:spacing w:after="0"/>
              <w:rPr>
                <w:sz w:val="20"/>
                <w:szCs w:val="20"/>
                <w:color w:val="auto"/>
              </w:rPr>
            </w:pPr>
            <w:r>
              <w:rPr>
                <w:rFonts w:ascii="Arial" w:cs="Arial" w:eastAsia="Arial" w:hAnsi="Arial"/>
                <w:sz w:val="13"/>
                <w:szCs w:val="13"/>
                <w:color w:val="auto"/>
              </w:rPr>
              <w:t>Class A common 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 B common stock</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Accumulated deficit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53"/>
              <w:spacing w:after="0"/>
              <w:rPr>
                <w:sz w:val="20"/>
                <w:szCs w:val="20"/>
                <w:color w:val="auto"/>
              </w:rPr>
            </w:pPr>
            <w:r>
              <w:rPr>
                <w:rFonts w:ascii="Arial" w:cs="Arial" w:eastAsia="Arial" w:hAnsi="Arial"/>
                <w:sz w:val="13"/>
                <w:szCs w:val="13"/>
                <w:color w:val="auto"/>
              </w:rPr>
              <w:t>(193,143)</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ind w:left="400"/>
              <w:spacing w:after="0"/>
              <w:rPr>
                <w:sz w:val="20"/>
                <w:szCs w:val="20"/>
                <w:color w:val="auto"/>
              </w:rPr>
            </w:pPr>
            <w:r>
              <w:rPr>
                <w:rFonts w:ascii="Arial" w:cs="Arial" w:eastAsia="Arial" w:hAnsi="Arial"/>
                <w:sz w:val="13"/>
                <w:szCs w:val="13"/>
                <w:color w:val="auto"/>
              </w:rPr>
              <w:t>Members’/stockholders’ (deficit) equity attributable to member/stockholders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53"/>
              <w:spacing w:after="0"/>
              <w:rPr>
                <w:sz w:val="20"/>
                <w:szCs w:val="20"/>
                <w:color w:val="auto"/>
              </w:rPr>
            </w:pPr>
            <w:r>
              <w:rPr>
                <w:rFonts w:ascii="Arial" w:cs="Arial" w:eastAsia="Arial" w:hAnsi="Arial"/>
                <w:sz w:val="13"/>
                <w:szCs w:val="13"/>
                <w:color w:val="auto"/>
              </w:rPr>
              <w:t>(113,596)</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Non-controlling interest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ind w:left="400"/>
              <w:spacing w:after="0"/>
              <w:rPr>
                <w:sz w:val="20"/>
                <w:szCs w:val="20"/>
                <w:color w:val="auto"/>
              </w:rPr>
            </w:pPr>
            <w:r>
              <w:rPr>
                <w:rFonts w:ascii="Arial" w:cs="Arial" w:eastAsia="Arial" w:hAnsi="Arial"/>
                <w:sz w:val="13"/>
                <w:szCs w:val="13"/>
                <w:color w:val="auto"/>
              </w:rPr>
              <w:t>Total members’/stockholders’ (deficit) equity</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453"/>
              <w:spacing w:after="0"/>
              <w:rPr>
                <w:sz w:val="20"/>
                <w:szCs w:val="20"/>
                <w:color w:val="auto"/>
              </w:rPr>
            </w:pPr>
            <w:r>
              <w:rPr>
                <w:rFonts w:ascii="Arial" w:cs="Arial" w:eastAsia="Arial" w:hAnsi="Arial"/>
                <w:sz w:val="13"/>
                <w:szCs w:val="13"/>
                <w:color w:val="auto"/>
              </w:rPr>
              <w:t>(113,596)</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liabilities, redeemable Class A units, and members’/stockholders’ (deficit) equity</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105,397</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 to unaudited pro forma consolidated financial information.</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Other financial and operational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-158750</wp:posOffset>
            </wp:positionV>
            <wp:extent cx="6998970" cy="55848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42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19"/>
                <w:szCs w:val="19"/>
                <w:color w:val="auto"/>
              </w:rPr>
            </w:pPr>
          </w:p>
        </w:tc>
      </w:tr>
      <w:tr>
        <w:trPr>
          <w:trHeight w:val="196"/>
        </w:trPr>
        <w:tc>
          <w:tcPr>
            <w:tcW w:w="4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22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r>
      <w:tr>
        <w:trPr>
          <w:trHeight w:val="177"/>
        </w:trPr>
        <w:tc>
          <w:tcPr>
            <w:tcW w:w="42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4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w w:val="96"/>
              </w:rPr>
              <w:t>QL Holdings LLC</w:t>
            </w:r>
          </w:p>
        </w:tc>
        <w:tc>
          <w:tcPr>
            <w:tcW w:w="8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historical</w:t>
            </w:r>
          </w:p>
        </w:tc>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MediaAlpha, Inc.</w:t>
            </w:r>
          </w:p>
        </w:tc>
        <w:tc>
          <w:tcPr>
            <w:tcW w:w="20" w:type="dxa"/>
            <w:vAlign w:val="bottom"/>
            <w:tcBorders>
              <w:bottom w:val="single" w:sz="8" w:color="auto"/>
            </w:tcBorders>
          </w:tcPr>
          <w:p>
            <w:pPr>
              <w:spacing w:after="0"/>
              <w:rPr>
                <w:sz w:val="19"/>
                <w:szCs w:val="19"/>
                <w:color w:val="auto"/>
              </w:rPr>
            </w:pPr>
          </w:p>
        </w:tc>
      </w:tr>
      <w:tr>
        <w:trPr>
          <w:trHeight w:val="196"/>
        </w:trPr>
        <w:tc>
          <w:tcPr>
            <w:tcW w:w="4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(predecessor)</w:t>
            </w:r>
          </w:p>
        </w:tc>
        <w:tc>
          <w:tcPr>
            <w:tcW w:w="84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(1)</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42,919</w:t>
            </w:r>
          </w:p>
        </w:tc>
        <w:tc>
          <w:tcPr>
            <w:tcW w:w="84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65,096</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Contribution</w:t>
            </w:r>
            <w:r>
              <w:rPr>
                <w:rFonts w:ascii="Arial" w:cs="Arial" w:eastAsia="Arial" w:hAnsi="Arial"/>
                <w:sz w:val="22"/>
                <w:szCs w:val="22"/>
                <w:color w:val="auto"/>
                <w:vertAlign w:val="superscript"/>
              </w:rPr>
              <w:t>(2)</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69,294</w:t>
            </w:r>
          </w:p>
        </w:tc>
        <w:tc>
          <w:tcPr>
            <w:tcW w:w="84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24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2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4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Contribution Margin</w:t>
            </w:r>
            <w:r>
              <w:rPr>
                <w:rFonts w:ascii="Arial" w:cs="Arial" w:eastAsia="Arial" w:hAnsi="Arial"/>
                <w:sz w:val="22"/>
                <w:szCs w:val="22"/>
                <w:color w:val="auto"/>
                <w:vertAlign w:val="superscript"/>
              </w:rPr>
              <w:t>(2)</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84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right="140" w:hanging="326"/>
        <w:spacing w:after="0" w:line="238" w:lineRule="auto"/>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define “Adjusted EBITDA” as net income excluding interest expense, income tax benefit (expense), depreciation expense on property and equipment, amortization of intangible assets, equity-based compensation expense and transaction expenses. Adjusted EBITDA is a non-GAAP financial measure that we present in this prospectus to supplement the financial information we present on a GAAP basis. We monitor and have presented in this prospectus Adjusted EBITDA because it is a key measure used by our management to understand and evaluate our operating performance, to establish budgets and to develop operational goals for managing our business. Other companies may calculate Adjusted EBITDA differently than we do. Adjusted EBITDA has its limitations as an analytical tool, and you should not consider it in isolation or as a substitute for analysis of our results presented in accordance with GAAP.</w:t>
      </w:r>
    </w:p>
    <w:p>
      <w:pPr>
        <w:spacing w:after="0" w:line="1" w:lineRule="exact"/>
        <w:rPr>
          <w:rFonts w:ascii="Arial" w:cs="Arial" w:eastAsia="Arial" w:hAnsi="Arial"/>
          <w:sz w:val="13"/>
          <w:szCs w:val="13"/>
          <w:color w:val="auto"/>
        </w:rPr>
      </w:pPr>
    </w:p>
    <w:p>
      <w:pPr>
        <w:ind w:left="460" w:right="40" w:hanging="326"/>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define “Contribution” as revenue less revenue share payments and online advertising costs, or, as reported in our consolidated statement of operations, revenue less cost of revenue (i.e., gross profit), as adjusted to exclude the following items from cost of revenue: equity-based compensation; salaries, wages, and related; internet and hosting; amortization; depreciation; other services; and merchant-related fees. We define “Contribution Margin” as Contribution expressed as a percentage of revenue for the same period. Contribution and Contribution Margin are non-GAAP financial measures that we present in this prospectus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Margin increases and our headcount costs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190"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The following table reconciles Adjusted EBITDA with net income, the most directly comparable financial measure calculated and presented in accordance with GAAP:</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24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QL Holdings LLC</w:t>
            </w:r>
          </w:p>
        </w:tc>
        <w:tc>
          <w:tcPr>
            <w:tcW w:w="1000" w:type="dxa"/>
            <w:vAlign w:val="bottom"/>
            <w:tcBorders>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MediaAlpha, Inc.</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(predecessor)</w:t>
            </w:r>
          </w:p>
        </w:tc>
        <w:tc>
          <w:tcPr>
            <w:tcW w:w="10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income (loss)</w:t>
            </w:r>
          </w:p>
        </w:tc>
        <w:tc>
          <w:tcPr>
            <w:tcW w:w="1500" w:type="dxa"/>
            <w:vAlign w:val="bottom"/>
            <w:gridSpan w:val="2"/>
            <w:shd w:val="clear" w:color="auto" w:fill="CCEEFF"/>
          </w:tcPr>
          <w:p>
            <w:pPr>
              <w:ind w:left="13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17,820</w:t>
            </w:r>
          </w:p>
        </w:tc>
        <w:tc>
          <w:tcPr>
            <w:tcW w:w="100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Equity-based compensation expense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3,594</w:t>
            </w: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7,021</w:t>
            </w:r>
          </w:p>
        </w:tc>
        <w:tc>
          <w:tcPr>
            <w:tcW w:w="100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expense on property and equipment</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100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5,381</w:t>
            </w: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2"/>
                <w:szCs w:val="22"/>
                <w:color w:val="auto"/>
                <w:vertAlign w:val="superscript"/>
              </w:rPr>
              <w:t>(A)</w:t>
            </w:r>
          </w:p>
        </w:tc>
        <w:tc>
          <w:tcPr>
            <w:tcW w:w="1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8,831</w:t>
            </w:r>
          </w:p>
        </w:tc>
        <w:tc>
          <w:tcPr>
            <w:tcW w:w="10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1500" w:type="dxa"/>
            <w:vAlign w:val="bottom"/>
            <w:tcBorders>
              <w:bottom w:val="single" w:sz="8" w:color="auto"/>
            </w:tcBorders>
            <w:gridSpan w:val="2"/>
          </w:tcPr>
          <w:p>
            <w:pPr>
              <w:ind w:left="1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42,919</w:t>
            </w:r>
          </w:p>
        </w:tc>
        <w:tc>
          <w:tcPr>
            <w:tcW w:w="10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900" w:right="200" w:hanging="334"/>
        <w:spacing w:after="0" w:line="258" w:lineRule="auto"/>
        <w:tabs>
          <w:tab w:leader="none" w:pos="9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For the year ended December 31, 2019, transaction expenses included $7.2 million in legal, investment banking and other consulting fees and $1.6 million in transaction bonuses related to a transaction with Insignia in February 2019.</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87630</wp:posOffset>
            </wp:positionV>
            <wp:extent cx="6998970" cy="2910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2910205"/>
                    </a:xfrm>
                    <a:prstGeom prst="rect">
                      <a:avLst/>
                    </a:prstGeom>
                    <a:noFill/>
                  </pic:spPr>
                </pic:pic>
              </a:graphicData>
            </a:graphic>
          </wp:anchor>
        </w:drawing>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reconciles Contribution and Contribution Margin with gross profit, the most directly comparable financial measure calculated and presented in accordance with</w:t>
      </w:r>
    </w:p>
    <w:p>
      <w:pPr>
        <w:ind w:left="460"/>
        <w:spacing w:after="0"/>
        <w:rPr>
          <w:sz w:val="20"/>
          <w:szCs w:val="20"/>
          <w:color w:val="auto"/>
        </w:rPr>
      </w:pPr>
      <w:r>
        <w:rPr>
          <w:rFonts w:ascii="Arial" w:cs="Arial" w:eastAsia="Arial" w:hAnsi="Arial"/>
          <w:sz w:val="13"/>
          <w:szCs w:val="13"/>
          <w:color w:val="auto"/>
        </w:rPr>
        <w:t>GAAP:</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Year ended December 31,</w:t>
            </w:r>
          </w:p>
        </w:tc>
      </w:tr>
      <w:tr>
        <w:trPr>
          <w:trHeight w:val="177"/>
        </w:trPr>
        <w:tc>
          <w:tcPr>
            <w:tcW w:w="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432"/>
              <w:spacing w:after="0" w:line="177" w:lineRule="exact"/>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gridSpan w:val="2"/>
          </w:tcPr>
          <w:p>
            <w:pPr>
              <w:jc w:val="center"/>
              <w:ind w:left="692"/>
              <w:spacing w:after="0" w:line="177" w:lineRule="exact"/>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5"/>
                <w:szCs w:val="15"/>
                <w:color w:val="auto"/>
              </w:rPr>
            </w:pPr>
          </w:p>
        </w:tc>
      </w:tr>
      <w:tr>
        <w:trPr>
          <w:trHeight w:val="203"/>
        </w:trPr>
        <w:tc>
          <w:tcPr>
            <w:tcW w:w="3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360" w:type="dxa"/>
            <w:vAlign w:val="bottom"/>
            <w:gridSpan w:val="4"/>
          </w:tcPr>
          <w:p>
            <w:pPr>
              <w:ind w:left="1760"/>
              <w:spacing w:after="0" w:line="202" w:lineRule="exact"/>
              <w:rPr>
                <w:sz w:val="20"/>
                <w:szCs w:val="20"/>
                <w:color w:val="auto"/>
              </w:rPr>
            </w:pPr>
            <w:r>
              <w:rPr>
                <w:rFonts w:ascii="Arial" w:cs="Arial" w:eastAsia="Arial" w:hAnsi="Arial"/>
                <w:sz w:val="18"/>
                <w:szCs w:val="18"/>
                <w:b w:val="1"/>
                <w:bCs w:val="1"/>
                <w:color w:val="auto"/>
              </w:rPr>
              <w:t>QL Holdings LLC</w:t>
            </w:r>
          </w:p>
        </w:tc>
        <w:tc>
          <w:tcPr>
            <w:tcW w:w="2280" w:type="dxa"/>
            <w:vAlign w:val="bottom"/>
            <w:gridSpan w:val="3"/>
          </w:tcPr>
          <w:p>
            <w:pPr>
              <w:jc w:val="center"/>
              <w:ind w:left="672"/>
              <w:spacing w:after="0" w:line="202" w:lineRule="exact"/>
              <w:rPr>
                <w:sz w:val="20"/>
                <w:szCs w:val="20"/>
                <w:color w:val="auto"/>
              </w:rPr>
            </w:pPr>
            <w:r>
              <w:rPr>
                <w:rFonts w:ascii="Arial" w:cs="Arial" w:eastAsia="Arial" w:hAnsi="Arial"/>
                <w:sz w:val="18"/>
                <w:szCs w:val="18"/>
                <w:b w:val="1"/>
                <w:bCs w:val="1"/>
                <w:color w:val="auto"/>
                <w:w w:val="98"/>
              </w:rPr>
              <w:t>MediaAlpha, Inc.</w:t>
            </w:r>
          </w:p>
        </w:tc>
      </w:tr>
      <w:tr>
        <w:trPr>
          <w:trHeight w:val="221"/>
        </w:trPr>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(predecessor)</w:t>
            </w:r>
          </w:p>
        </w:tc>
        <w:tc>
          <w:tcPr>
            <w:tcW w:w="820" w:type="dxa"/>
            <w:vAlign w:val="bottom"/>
          </w:tcPr>
          <w:p>
            <w:pPr>
              <w:spacing w:after="0"/>
              <w:rPr>
                <w:sz w:val="19"/>
                <w:szCs w:val="19"/>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(successor)</w:t>
            </w:r>
          </w:p>
        </w:tc>
      </w:tr>
      <w:tr>
        <w:trPr>
          <w:trHeight w:val="235"/>
        </w:trPr>
        <w:tc>
          <w:tcPr>
            <w:tcW w:w="5380" w:type="dxa"/>
            <w:vAlign w:val="bottom"/>
            <w:gridSpan w:val="2"/>
          </w:tcPr>
          <w:p>
            <w:pPr>
              <w:ind w:left="360"/>
              <w:spacing w:after="0"/>
              <w:rPr>
                <w:sz w:val="20"/>
                <w:szCs w:val="20"/>
                <w:color w:val="auto"/>
              </w:rPr>
            </w:pPr>
            <w:r>
              <w:rPr>
                <w:rFonts w:ascii="Arial" w:cs="Arial" w:eastAsia="Arial" w:hAnsi="Arial"/>
                <w:sz w:val="18"/>
                <w:szCs w:val="18"/>
                <w:b w:val="1"/>
                <w:bCs w:val="1"/>
                <w:color w:val="auto"/>
              </w:rPr>
              <w:t>(in thousands)</w:t>
            </w:r>
          </w:p>
        </w:tc>
        <w:tc>
          <w:tcPr>
            <w:tcW w:w="17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7"/>
        </w:trPr>
        <w:tc>
          <w:tcPr>
            <w:tcW w:w="360" w:type="dxa"/>
            <w:vAlign w:val="bottom"/>
          </w:tcPr>
          <w:p>
            <w:pPr>
              <w:spacing w:after="0"/>
              <w:rPr>
                <w:sz w:val="17"/>
                <w:szCs w:val="17"/>
                <w:color w:val="auto"/>
              </w:rPr>
            </w:pPr>
          </w:p>
        </w:tc>
        <w:tc>
          <w:tcPr>
            <w:tcW w:w="5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Revenue</w:t>
            </w:r>
          </w:p>
        </w:tc>
        <w:tc>
          <w:tcPr>
            <w:tcW w:w="1880" w:type="dxa"/>
            <w:vAlign w:val="bottom"/>
            <w:tcBorders>
              <w:top w:val="single" w:sz="8" w:color="auto"/>
            </w:tcBorders>
            <w:gridSpan w:val="2"/>
            <w:shd w:val="clear" w:color="auto" w:fill="CCEEFF"/>
          </w:tcPr>
          <w:p>
            <w:pPr>
              <w:ind w:left="1760"/>
              <w:spacing w:after="0" w:line="197"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408,005</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10"/>
        </w:trPr>
        <w:tc>
          <w:tcPr>
            <w:tcW w:w="53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Less cost of revenue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(342,909)</w:t>
            </w: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38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7"/>
              </w:rPr>
              <w:t>Adjusted to exclude the following (as related to cost of revenue):</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Equity-based compensation</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Salaries, wages, and related</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1,471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Internet and hosting</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Amortization</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511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Other services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263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Merchant-related fees</w:t>
            </w:r>
          </w:p>
        </w:tc>
        <w:tc>
          <w:tcPr>
            <w:tcW w:w="17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40" w:type="dxa"/>
            <w:vAlign w:val="bottom"/>
            <w:tcBorders>
              <w:bottom w:val="single" w:sz="8" w:color="auto"/>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5380" w:type="dxa"/>
            <w:vAlign w:val="bottom"/>
            <w:gridSpan w:val="2"/>
          </w:tcPr>
          <w:p>
            <w:pPr>
              <w:ind w:left="360"/>
              <w:spacing w:after="0"/>
              <w:rPr>
                <w:sz w:val="20"/>
                <w:szCs w:val="20"/>
                <w:color w:val="auto"/>
              </w:rPr>
            </w:pPr>
            <w:r>
              <w:rPr>
                <w:rFonts w:ascii="Arial" w:cs="Arial" w:eastAsia="Arial" w:hAnsi="Arial"/>
                <w:sz w:val="18"/>
                <w:szCs w:val="18"/>
                <w:color w:val="auto"/>
              </w:rPr>
              <w:t>Contribution</w:t>
            </w:r>
          </w:p>
        </w:tc>
        <w:tc>
          <w:tcPr>
            <w:tcW w:w="1880" w:type="dxa"/>
            <w:vAlign w:val="bottom"/>
            <w:gridSpan w:val="2"/>
          </w:tcPr>
          <w:p>
            <w:pPr>
              <w:ind w:left="17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69,294</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53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Contribution Margin</w:t>
            </w: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359"/>
        </w:trPr>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780" w:type="dxa"/>
            <w:vAlign w:val="bottom"/>
          </w:tcPr>
          <w:p>
            <w:pPr>
              <w:jc w:val="right"/>
              <w:ind w:right="1472"/>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i w:val="1"/>
          <w:iCs w:val="1"/>
          <w:color w:val="auto"/>
        </w:rPr>
        <w:t>Investing in our Class A common stock involves risks. You should carefully consider the risks and uncertainties described below, together with all of the other information included in this prospectus, including our consolidated financial statements and the related notes appearing at the end of this prospectus, before deciding to invest in our Class A common stock. Our business, financial condition, operating results, cash flow, and prospects could be materially and adversely affected by various risks and uncertainties, including those described below.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may also adversely affect our business. Some statements in this prospectus, including statements in the following risk factors, constitute forward-looking statements. See “Cautionary note regarding forward-looking statements.”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14"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b w:val="1"/>
          <w:bCs w:val="1"/>
          <w:i w:val="1"/>
          <w:iCs w:val="1"/>
          <w:color w:val="auto"/>
        </w:rPr>
        <w:t>Our business is dependent on our relationships with our partners using our platform, many of which have no long-term contractual commitments with us. If demand partners stop purchasing Consumer Referrals on our platform, if supply partners stop making Consumer Referrals available on our platform, or if we are unable to establish and maintain new relationships with demand or supply partners on our platform, our business, financial condition, operating results, cash flows, and prospects could be materially and adversely affected.</w:t>
      </w:r>
    </w:p>
    <w:p>
      <w:pPr>
        <w:spacing w:after="0" w:line="10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 substantial majority of our revenue is derived from sales of Consumer Referrals to demand partners on our platform. Our relationships with such demand partners are dependent on our ability to make available on our platform quality Consumer Referrals at attractive volumes and prices, which in turn depends on our relationship with our supply partners. If demand partners are not able to acquire their preferred Consumer Referrals on our platform, they may stop purchasing on our platform. If demand partners are not able to reach desired consumer segments precisely or do not maximize return on customer acquisition spend, they may stop using our platform.</w:t>
      </w:r>
    </w:p>
    <w:p>
      <w:pPr>
        <w:spacing w:after="0" w:line="103" w:lineRule="exact"/>
        <w:rPr>
          <w:sz w:val="20"/>
          <w:szCs w:val="20"/>
          <w:color w:val="auto"/>
        </w:rPr>
      </w:pPr>
    </w:p>
    <w:p>
      <w:pPr>
        <w:ind w:left="120" w:right="180"/>
        <w:spacing w:after="0" w:line="299" w:lineRule="auto"/>
        <w:rPr>
          <w:sz w:val="20"/>
          <w:szCs w:val="20"/>
          <w:color w:val="auto"/>
        </w:rPr>
      </w:pPr>
      <w:r>
        <w:rPr>
          <w:rFonts w:ascii="Arial" w:cs="Arial" w:eastAsia="Arial" w:hAnsi="Arial"/>
          <w:sz w:val="16"/>
          <w:szCs w:val="16"/>
          <w:color w:val="auto"/>
        </w:rPr>
        <w:t>Supply partners use our platform to optimize consumer conversions while minimizing customer acquisition costs. If supply partners are not able to obtain the best yield on their traffic using our platform, they may stop using our platform to make their Consumer Referrals available.</w:t>
      </w:r>
    </w:p>
    <w:p>
      <w:pPr>
        <w:spacing w:after="0" w:line="5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majority of our partners can stop using our platform at any time with no notice. Many of our agreements with our partners have no fixed term and are cancellable upon 30 or 60 days’ notice. Furthermore, the agreements with our partners do not require that such partners transact a minimum amount on our platform. As a result, we cannot guarantee that our partners will continue to work with us, or, if they do, the amount of Consumer Referrals demand partners will purchase or the amount of Consumer Referrals supply partners will make available on our platform.</w:t>
      </w:r>
    </w:p>
    <w:p>
      <w:pPr>
        <w:spacing w:after="0" w:line="103"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If a partner is not satisfied with our platform, it could cause us to lose our relationship with them. In addition to a loss of revenue, this may produce publicity that could hurt our reputation and adversely affect our ability to retain business or secure new business with other partners. The success of our platform depends on both our supply partners making available a robust supply of Consumer Referrals and our demand partners’ willingness to pay to purchase such Consumer Referrals. Accordingly, the loss of a supply partner’s traffic could affect our ability to provide a sufficient supply of Consumer Referrals for demand partners to acquire. In turn, the loss of a demand partner’s purchasing power on our platform could decrease the payouts to supply partners, which could decrease our supply of Consumer Referrals.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decide to terminate our relationship with a partner for a number of reasons and at any time. For example, in October 2020, we</w:t>
      </w:r>
    </w:p>
    <w:p>
      <w:pPr>
        <w:ind w:left="120" w:right="20"/>
        <w:spacing w:after="0" w:line="236" w:lineRule="auto"/>
        <w:rPr>
          <w:sz w:val="20"/>
          <w:szCs w:val="20"/>
          <w:color w:val="auto"/>
        </w:rPr>
      </w:pPr>
      <w:r>
        <w:rPr>
          <w:rFonts w:ascii="Arial" w:cs="Arial" w:eastAsia="Arial" w:hAnsi="Arial"/>
          <w:sz w:val="18"/>
          <w:szCs w:val="18"/>
          <w:color w:val="auto"/>
        </w:rPr>
        <w:t>terminated our relationship with a supply partner that represented approximately % of revenue for the year ended December 31, 2020. The termination of our relationship with a partner could reduce the number of demand partners seeking to purchase Consumer Referrals and supply partners seeking to sell their Consumer Referrals to our platform. In connection with such a termination, we would lose a source of Transaction Value and fees for future sales. Our business, financial condition, operating results, cash flows, and prospects could also be harmed if in the future we fail to develop new partner relationships.</w:t>
      </w:r>
    </w:p>
    <w:p>
      <w:pPr>
        <w:spacing w:after="0" w:line="83"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We depend on a small group of insurance carriers for a substantial portion of our business. Changes in our relationships with these insurance carriers may adversely affect our business, financial condition, operating results, cash flows, and prospects.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derive a large portion of our revenue from a limited number of insurance carriers. For example, Progressive, which is both a buyer and</w:t>
      </w:r>
    </w:p>
    <w:p>
      <w:pPr>
        <w:ind w:left="120" w:right="280"/>
        <w:spacing w:after="0" w:line="234" w:lineRule="auto"/>
        <w:rPr>
          <w:sz w:val="20"/>
          <w:szCs w:val="20"/>
          <w:color w:val="auto"/>
        </w:rPr>
      </w:pPr>
      <w:r>
        <w:rPr>
          <w:rFonts w:ascii="Arial" w:cs="Arial" w:eastAsia="Arial" w:hAnsi="Arial"/>
          <w:sz w:val="18"/>
          <w:szCs w:val="18"/>
          <w:color w:val="auto"/>
        </w:rPr>
        <w:t>seller on our platform, accounted for % of revenue for the year ended December 31, 2020. Customer concentration for the years ended December 31, 2020 and 2019 consisted of one customer that accounted for approximately $ million and $ million, or % and %, of revenue, respectively. Our two largest customers accounted for approximately $ million, or %, of</w:t>
      </w:r>
    </w:p>
    <w:p>
      <w:pPr>
        <w:spacing w:after="0" w:line="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Company’s accounts receivable as of December 31, 2020 compared to one customer for approximately $4.7 million, or 8%, as of December 31, 2019. Many of our agreements with insurance carriers do not require minimum transaction volume commitments on our platform and, accordingly, our demand partners can reduce or eliminate their purchasing on our platform at any time. In addition, many of our agreements with insurance carriers are terminable by the insurance carriers without cause upon 30 or 60 days’ notice. Should we become dependent on fewer insurance partner relationships (whether as a result of the termination of existing relationships, insurance carrier consolidation or otherwise), we may become more vulnerable to adverse changes in our relationships with insurance carriers, which in turn could harm our business, financial condition, operating results, cash flows, and prospects.</w:t>
      </w:r>
    </w:p>
    <w:p>
      <w:pPr>
        <w:spacing w:after="0" w:line="81" w:lineRule="exact"/>
        <w:rPr>
          <w:sz w:val="20"/>
          <w:szCs w:val="20"/>
          <w:color w:val="auto"/>
        </w:rPr>
      </w:pPr>
    </w:p>
    <w:p>
      <w:pPr>
        <w:ind w:left="120" w:right="560"/>
        <w:spacing w:after="0" w:line="262" w:lineRule="auto"/>
        <w:rPr>
          <w:sz w:val="20"/>
          <w:szCs w:val="20"/>
          <w:color w:val="auto"/>
        </w:rPr>
      </w:pPr>
      <w:r>
        <w:rPr>
          <w:rFonts w:ascii="Arial" w:cs="Arial" w:eastAsia="Arial" w:hAnsi="Arial"/>
          <w:sz w:val="18"/>
          <w:szCs w:val="18"/>
          <w:b w:val="1"/>
          <w:bCs w:val="1"/>
          <w:i w:val="1"/>
          <w:iCs w:val="1"/>
          <w:color w:val="auto"/>
        </w:rPr>
        <w:t>Our business is substantially dependent on revenue from property &amp; casualty insurance, health insurance, and life insurance carriers and subject to risks related to such industries in which our partners operate.</w:t>
      </w:r>
    </w:p>
    <w:p>
      <w:pPr>
        <w:spacing w:after="0" w:line="81" w:lineRule="exact"/>
        <w:rPr>
          <w:sz w:val="20"/>
          <w:szCs w:val="20"/>
          <w:color w:val="auto"/>
        </w:rPr>
      </w:pPr>
    </w:p>
    <w:p>
      <w:pPr>
        <w:ind w:left="120" w:right="160"/>
        <w:spacing w:after="0" w:line="264" w:lineRule="auto"/>
        <w:rPr>
          <w:sz w:val="20"/>
          <w:szCs w:val="20"/>
          <w:color w:val="auto"/>
        </w:rPr>
      </w:pPr>
      <w:r>
        <w:rPr>
          <w:rFonts w:ascii="Arial" w:cs="Arial" w:eastAsia="Arial" w:hAnsi="Arial"/>
          <w:sz w:val="16"/>
          <w:szCs w:val="16"/>
          <w:color w:val="auto"/>
        </w:rPr>
        <w:t>A substantial majority of the insurance carriers using our platform are property &amp; casualty insurance carriers, health insurance carriers, and life insurance carriers. Revenue from property &amp; casualty insurance carriers, health insurance carriers, and life insurance carriers accounted</w:t>
      </w:r>
    </w:p>
    <w:p>
      <w:pPr>
        <w:ind w:left="120" w:right="220"/>
        <w:spacing w:after="0" w:line="238" w:lineRule="auto"/>
        <w:rPr>
          <w:sz w:val="20"/>
          <w:szCs w:val="20"/>
          <w:color w:val="auto"/>
        </w:rPr>
      </w:pPr>
      <w:r>
        <w:rPr>
          <w:rFonts w:ascii="Arial" w:cs="Arial" w:eastAsia="Arial" w:hAnsi="Arial"/>
          <w:sz w:val="18"/>
          <w:szCs w:val="18"/>
          <w:color w:val="auto"/>
        </w:rPr>
        <w:t>for % and 87.4% of our total revenue for the periods ended December 31, 2020 and 2019, respectively. If insurance carriers experience large or unexpected losses through the offering of insurance, these carriers may choose to decrease the amount of money they spend on customer acquisition, including with us.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we are dependent upon the economic success of the automobile, home, and healthcare industries. Decreases in consumer demand generally in such underlying industries could adversely affect the demand for property &amp; casualty insurance, health insurance, and life insurance and, in turn, the number of Consumer Referrals available on our platform. In addition, consumer spending on automobile, home, and healthcare products generally declines during recessionary periods and other periods in which disposable income is adversely affected and may be affected by negative trends in the broader economy, including the cost of energy and gasoline, the availability and cost of credit, reductions in business and consumer confidence, stock market volatility and increased unemployment. Downturns in any of these underlying industries, which could be caused by a downturn in the economy at large, could materially and adversely affect our business, financial condition, operating results, cash flows, and prospects.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440"/>
        <w:spacing w:after="0" w:line="262" w:lineRule="auto"/>
        <w:rPr>
          <w:sz w:val="20"/>
          <w:szCs w:val="20"/>
          <w:color w:val="auto"/>
        </w:rPr>
      </w:pPr>
      <w:r>
        <w:rPr>
          <w:rFonts w:ascii="Arial" w:cs="Arial" w:eastAsia="Arial" w:hAnsi="Arial"/>
          <w:sz w:val="18"/>
          <w:szCs w:val="18"/>
          <w:b w:val="1"/>
          <w:bCs w:val="1"/>
          <w:i w:val="1"/>
          <w:iCs w:val="1"/>
          <w:color w:val="auto"/>
        </w:rPr>
        <w:t>Our partners may negotiate with us to reduce our platform fees, which could harm our business, financial condition, operating results, cash flows, and prospects.</w:t>
      </w:r>
    </w:p>
    <w:p>
      <w:pPr>
        <w:spacing w:after="0" w:line="8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Many of the terms of our agreements with our partners, including our platform fees, are specifically negotiated with each partner. Our partners may negotiate with us to reduce our platform fees. The outcome of such negotiations could result in terms that are less favorable to us than those contained in our existing agreements or those obtained by our competitors, which could impact our relationship with our partners and could harm our business, financial condition, operating results, cash flows, and prospects.</w:t>
      </w:r>
    </w:p>
    <w:p>
      <w:pPr>
        <w:spacing w:after="0" w:line="80"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Demand partners who access our platform can attract consumers directly through their own customer acquisition strategies, including third-party online platforms and other traditional methods of distribution, or obtain similar services from our competitors. Similarly, supply partners can seek to monetize high-intent consumers or maximize the value of non-converting consumers on their websites by building their own solutions or turning to other service providers or our competitors.</w:t>
      </w:r>
    </w:p>
    <w:p>
      <w:pPr>
        <w:spacing w:after="0" w:line="96"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The majority of our demand partners do not have exclusive relationships with us, and they may choose to make systemic or incremental changes in the manner in which they market and distribute their products. They can attract consumers directly through their own customer acquisition strategies, including third-party online platforms and other traditional methods of distribution, such as referral arrangements, physical storefront operations or broker agreements. Such demand partners also may obtain Consumer Referrals through one or more online competitors of our business. If such demand partners determine to compete directly with us or choose to favor one or more third-party platforms, they could cease or reduce purchases of Consumer Referrals on our platform. In our insurance verticals, if consumers seek insurance policies directly from insurance carriers, or if insurance carrier partners seek Consumer Referrals through our competitors or cease providing us with access to their systems or information, the number of transactions by demand partners on our platform may decline, which could materially and adversely affect our business, financial condition, operating results, cash flows, and prospects.</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Similarly, most of our supply partners do not have exclusive relationships with us, and they can seek other solutions to maximize their consumer traffic monetization, such as building their own solution or turning to other service providers or our competitors in order to monetize high-intent consumers or maximize the value of non-converting consumers on their websites. This could also lead to a reduction in the number of Consumer Referrals made available by supply partners on our platform and materially and adversely affect our business, financial condition, operating results, cash flows, and prospects.</w:t>
      </w:r>
    </w:p>
    <w:p>
      <w:pPr>
        <w:spacing w:after="0" w:line="83" w:lineRule="exact"/>
        <w:rPr>
          <w:sz w:val="20"/>
          <w:szCs w:val="20"/>
          <w:color w:val="auto"/>
        </w:rPr>
      </w:pPr>
    </w:p>
    <w:p>
      <w:pPr>
        <w:ind w:left="120" w:right="200"/>
        <w:spacing w:after="0" w:line="262" w:lineRule="auto"/>
        <w:rPr>
          <w:sz w:val="20"/>
          <w:szCs w:val="20"/>
          <w:color w:val="auto"/>
        </w:rPr>
      </w:pPr>
      <w:r>
        <w:rPr>
          <w:rFonts w:ascii="Arial" w:cs="Arial" w:eastAsia="Arial" w:hAnsi="Arial"/>
          <w:sz w:val="18"/>
          <w:szCs w:val="18"/>
          <w:b w:val="1"/>
          <w:bCs w:val="1"/>
          <w:i w:val="1"/>
          <w:iCs w:val="1"/>
          <w:color w:val="auto"/>
        </w:rPr>
        <w:t>If we fail to compete effectively against technology companies engaged in digital customer acquisition and other competitors, we could lose partners and our revenue may decline.</w:t>
      </w:r>
    </w:p>
    <w:p>
      <w:pPr>
        <w:spacing w:after="0" w:line="81" w:lineRule="exact"/>
        <w:rPr>
          <w:sz w:val="20"/>
          <w:szCs w:val="20"/>
          <w:color w:val="auto"/>
        </w:rPr>
      </w:pPr>
    </w:p>
    <w:p>
      <w:pPr>
        <w:ind w:left="120" w:right="160"/>
        <w:spacing w:after="0" w:line="271" w:lineRule="auto"/>
        <w:rPr>
          <w:sz w:val="20"/>
          <w:szCs w:val="20"/>
          <w:color w:val="auto"/>
        </w:rPr>
      </w:pPr>
      <w:r>
        <w:rPr>
          <w:rFonts w:ascii="Arial" w:cs="Arial" w:eastAsia="Arial" w:hAnsi="Arial"/>
          <w:sz w:val="16"/>
          <w:szCs w:val="16"/>
          <w:color w:val="auto"/>
        </w:rPr>
        <w:t>We operate in the broadly defined tech-enabled insurance distribution sector. Within this sector, our closest competitors are technology companies engaged in digital customer acquisition. This sector is intensely competitive, and we expect this competition to continue to increase in the future both from existing and new competitors that provide competing platforms or technology. We compete both for demand partners and high-quality Consumer Referrals. We compete on the basis of a number of factors, including return on investment, technology, and client service. With respect to high quality Consumer Referrals and for a share of demand partners’ customer acquisition budgets, we compete with technology companies engaged in digital customer acquisition for insurance carriers as well as other companies including:</w:t>
      </w:r>
    </w:p>
    <w:p>
      <w:pPr>
        <w:spacing w:after="0" w:line="86"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distribution companies focused on insurance products;</w:t>
      </w:r>
    </w:p>
    <w:p>
      <w:pPr>
        <w:ind w:left="340" w:hanging="224"/>
        <w:spacing w:after="0" w:line="23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industry-specific portals or customer acquisition companies with insurance-focused research online destinations;</w:t>
      </w: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online marketing or media services providers;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0"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 internet portals and search engine companies with online advertising platforms; and</w:t>
      </w: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supply partners with their own sales forces that sell their online Consumer Referrals directly to buyers.</w:t>
      </w:r>
    </w:p>
    <w:p>
      <w:pPr>
        <w:spacing w:after="0" w:line="10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Finding, developing, and retaining high quality Consumer Referrals on a cost-effective basis is challenging because competition for web traffic among technology companies engaged in digital customer acquisition, websites, and search engines, as well as competition with traditional media companies, has resulted and may continue to result in significant increases in pricing, declining margins, reduction in revenue, and loss of market share. In addition, if we expand the scope of our services, we may compete with a greater number of technology companies, websites, buyers, and traditional media companies across an increasing range of different services, including in vertical markets where competitors may have advantages in expertise, brand recognition, and other areas. Internet search companies with brand recognition have significant numbers of direct sales personnel and web traffic that provide a significant competitive advantage and have a significant impact on pricing for Consumer Referrals or web traffic. Some of these companies may offer or develop more vertically targeted products that match consumers with products and services or match Consumer Referrals with buyers and, thus, compete with us more directly. The trend toward consolidation in online marketing may also affect pricing and availability of Consumer Referral inventory. Many of our current and potential competitors also have other competitive advantages over us, such as longer operating histories, greater brand recognition, larger client bases, greater access to Consumer Referrals or web traffic more generally, and significantly greater financial, technical, and marketing resources. As a result, we may not be able to compete successfully. Competition from the DTC distribution channel affected and may continue to affect both volume and price, and, thus, revenue, profit margins, and profitability. If we fail to deliver results that are superior to those that other technology companies engaged in digital customer acquisition deliver to partners, we could lose partners and market share, and our revenue may decline.</w:t>
      </w:r>
    </w:p>
    <w:p>
      <w:pPr>
        <w:spacing w:after="0" w:line="85" w:lineRule="exact"/>
        <w:rPr>
          <w:sz w:val="20"/>
          <w:szCs w:val="20"/>
          <w:color w:val="auto"/>
        </w:rPr>
      </w:pPr>
    </w:p>
    <w:p>
      <w:pPr>
        <w:ind w:left="120" w:right="100"/>
        <w:spacing w:after="0" w:line="325" w:lineRule="auto"/>
        <w:rPr>
          <w:sz w:val="20"/>
          <w:szCs w:val="20"/>
          <w:color w:val="auto"/>
        </w:rPr>
      </w:pPr>
      <w:r>
        <w:rPr>
          <w:rFonts w:ascii="Arial" w:cs="Arial" w:eastAsia="Arial" w:hAnsi="Arial"/>
          <w:sz w:val="16"/>
          <w:szCs w:val="16"/>
          <w:b w:val="1"/>
          <w:bCs w:val="1"/>
          <w:i w:val="1"/>
          <w:iCs w:val="1"/>
          <w:color w:val="auto"/>
        </w:rPr>
        <w:t>If we are unable to develop new offerings, achieve increased partner adoption of those offerings or penetrate new vertical markets, our business, financial condition, operating results, cash flows, and prospects could be materially and adversely affected.</w:t>
      </w:r>
    </w:p>
    <w:p>
      <w:pPr>
        <w:spacing w:after="0" w:line="3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continued improvement of our product and service offerings is critical to our continued growth. Accordingly, we must continually invest resources in product, technology, and development in order to improve the comprehensiveness and effectiveness of our platform, including by improving upon and expanding the tools we offer to our partners for consumer acquisition cost management and optimization.</w:t>
      </w:r>
    </w:p>
    <w:p>
      <w:pPr>
        <w:spacing w:after="0" w:line="100"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In addition, while we have historically concentrated our efforts on the property &amp; casualty insurance, health insurance, and life insurance markets, our growth strategy includes opportunistically penetrating other vertical markets, such as consumer finance, education, and home services. In order to penetrate new vertical markets successfully, it will be necessary to develop an understanding of those new markets and the associated risks, which may require substantial investments of time and resources, and even then we may not be successful and, as a result, our revenue may grow at a slower rate than we anticipate and our business, financial condition, operating results, cash flows, and prospects could be materially and adversely affected.</w:t>
      </w:r>
    </w:p>
    <w:p>
      <w:pPr>
        <w:spacing w:after="0" w:line="82"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If we fail to manage future growth effectively, our business, financial condition, operating results, cash flows, and prospects could be materially and adversely affected.</w:t>
      </w:r>
    </w:p>
    <w:p>
      <w:pPr>
        <w:spacing w:after="0" w:line="8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have at times experienced rapid growth and anticipate further growth. This growth has placed significant demands on management and our operational infrastructure. As we continue to grow, we must effectively integrate, develop, and motivate our employees, while maintaining the beneficial aspects of our company culture. If we do not manage the growth of our business and operations effectively, the quality of our services and efficiency of our operations could suffer and we may not be able to execute on our business plan, which could harm our business, financial condition, operating results, cash flows, and prospects.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200"/>
        <w:spacing w:after="0" w:line="262" w:lineRule="auto"/>
        <w:rPr>
          <w:sz w:val="20"/>
          <w:szCs w:val="20"/>
          <w:color w:val="auto"/>
        </w:rPr>
      </w:pPr>
      <w:r>
        <w:rPr>
          <w:rFonts w:ascii="Arial" w:cs="Arial" w:eastAsia="Arial" w:hAnsi="Arial"/>
          <w:sz w:val="18"/>
          <w:szCs w:val="18"/>
          <w:b w:val="1"/>
          <w:bCs w:val="1"/>
          <w:i w:val="1"/>
          <w:iCs w:val="1"/>
          <w:color w:val="auto"/>
        </w:rPr>
        <w:t>Our past growth or the past growth in our verticals or by our competitors may not be indicative of future growth, and our revenue growth rate may decline in the future.</w:t>
      </w:r>
    </w:p>
    <w:p>
      <w:pPr>
        <w:spacing w:after="0" w:line="8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Our past growth or the past growth in our verticals or by our competitors may not be indicative of future growth, if any. We will not be able to grow as expected, or at all, if we do not accomplish the following:</w:t>
      </w:r>
    </w:p>
    <w:p>
      <w:pPr>
        <w:spacing w:after="0" w:line="114"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and expand the number of demand and supply partners that use our platform;</w:t>
      </w:r>
    </w:p>
    <w:p>
      <w:pPr>
        <w:spacing w:after="0" w:line="117"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the volume and quality of Consumer Referrals available on our platform and otherwise improve the value of our platform for our partners;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further improve the quality of our platform;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our presence to new verticals.</w:t>
      </w:r>
    </w:p>
    <w:p>
      <w:pPr>
        <w:spacing w:after="0" w:line="10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revenue growth rates may also be limited if we are unable to achieve high market penetration rates as we experience increased competition. If our revenue or revenue growth rates decline, investors’ perceptions of our business may be adversely affected and the market price of our Class A common stock could decline.</w:t>
      </w:r>
    </w:p>
    <w:p>
      <w:pPr>
        <w:spacing w:after="0" w:line="80" w:lineRule="exact"/>
        <w:rPr>
          <w:sz w:val="20"/>
          <w:szCs w:val="20"/>
          <w:color w:val="auto"/>
        </w:rPr>
      </w:pPr>
    </w:p>
    <w:p>
      <w:pPr>
        <w:ind w:left="120" w:right="440"/>
        <w:spacing w:after="0" w:line="262" w:lineRule="auto"/>
        <w:rPr>
          <w:sz w:val="20"/>
          <w:szCs w:val="20"/>
          <w:color w:val="auto"/>
        </w:rPr>
      </w:pPr>
      <w:r>
        <w:rPr>
          <w:rFonts w:ascii="Arial" w:cs="Arial" w:eastAsia="Arial" w:hAnsi="Arial"/>
          <w:sz w:val="18"/>
          <w:szCs w:val="18"/>
          <w:b w:val="1"/>
          <w:bCs w:val="1"/>
          <w:i w:val="1"/>
          <w:iCs w:val="1"/>
          <w:color w:val="auto"/>
        </w:rPr>
        <w:t>If we are unable to attract, integrate, and retain qualified employees, our ability to develop and successfully grow our business could be harmed.</w:t>
      </w:r>
    </w:p>
    <w:p>
      <w:pPr>
        <w:spacing w:after="0" w:line="81"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Our business depends on our ability to retain our key executives and management, including Steven Yi, Chief Executive Officer and Co-Founder, Eugene Nonko, Chief Technology Officer and Co-Founder, and Tigran Sinanyan, Chief Financial Officer, and to hire, develop, and retain other key employees. Our ability to expand our business depends on our being able to hire, train, and retain sufficient numbers of experienced information technology employees, as well as other personnel. Our success in recruiting highly skilled and qualified employees can depend on factors outside of our control, including the strength of the general economy and local employment markets and the availability of alternative forms of employment. Experienced information technology personnel, who are critical to the success of our business, are in particularly high demand. This demand is particularly acute in the Seattle, Washington area, where our technology and engineering team is based. Competition for their talents is intense, and retaining such individuals can be difficult. The loss of any of our executive officers or key employees could materially and adversely affect our ability to execute our business plan and strategy, and we may not be able to find adequate replacements on a timely basis, or at all. Most of our executive officers and other key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operating results, cash flows, and prospects could be materially and adversely affected.</w:t>
      </w:r>
    </w:p>
    <w:p>
      <w:pPr>
        <w:spacing w:after="0" w:line="262"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A reduction in DTC digital spend by our demand partners or lower conversion results may harm our business, financial condition, operating results, cash flows, and prospects.</w:t>
      </w:r>
    </w:p>
    <w:p>
      <w:pPr>
        <w:spacing w:after="0" w:line="8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rely on demand partners’ DTC digital spend on our network of supply partner websites and on our proprietary websites. We have historically derived, and we expect to continue to derive, the majority of our revenue through the delivery of Consumer Referrals. One component of our platform that we use to generate buyer interest is our system of optimization tools, which is designed to offer pricing control, transparency, granular targeting, and real-time response to assist our partners in making buying and selling decisions that optimize customer acquisition spend. Demand partners will stop spending on our platform if their investments do not generate conversion results. The failure of our platform to effectively deliver customer acquisitions in a manner that results in increased revenue for our demand partners could have an adverse impact on our ability to maintain or increase our revenue from our demand partners’ DTC digital spend.</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jc w:val="both"/>
        <w:ind w:left="120"/>
        <w:spacing w:after="0" w:line="248" w:lineRule="auto"/>
        <w:rPr>
          <w:sz w:val="20"/>
          <w:szCs w:val="20"/>
          <w:color w:val="auto"/>
        </w:rPr>
      </w:pPr>
      <w:r>
        <w:rPr>
          <w:rFonts w:ascii="Arial" w:cs="Arial" w:eastAsia="Arial" w:hAnsi="Arial"/>
          <w:sz w:val="18"/>
          <w:szCs w:val="18"/>
          <w:b w:val="1"/>
          <w:bCs w:val="1"/>
          <w:i w:val="1"/>
          <w:iCs w:val="1"/>
          <w:color w:val="auto"/>
        </w:rPr>
        <w:t>We depend on supply partners on our platform for a majority of our generation of Consumer Referrals. Any decline in the supply of Consumer Referrals available through these supply partners’ websites could cause our revenue to decline or our operating costs to increase.</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 majority of the Consumer Referrals available on our platform is attributable to consumer traffic originating from supply partners on our platform. In many instances, supply partners can change the Consumer Referrals they make available on our platform at any time in ways that could impact our results of operations. If a supply partner decides not to make its Consumer Referrals available to us, decides to demand a higher revenue-share or places significant restrictions on the sale of such Consumer Referrals, we may not be able to find Consumer Referrals from other supply partners that satisfies our requirements in a timely and cost-effective manner. Consolidation of sellers could eventually lead to a concentration of desirable inventory on websites or networks owned by a small number of individuals or entities, which could limit the supply or impact the pricing of inventory available to us. We cannot assure you that we will be able to acquire Consumer Referrals that meet our partners’ performance, price, and quality requirements, in which case our revenue could decline or our operating costs could increase.</w:t>
      </w:r>
    </w:p>
    <w:p>
      <w:pPr>
        <w:spacing w:after="0" w:line="86"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b w:val="1"/>
          <w:bCs w:val="1"/>
          <w:i w:val="1"/>
          <w:iCs w:val="1"/>
          <w:color w:val="auto"/>
        </w:rPr>
        <w:t>We rely on data provided to us by our demand partners, our supply partners, and consumers to improve our technology and service offerings, and if we are unable to maintain or increase the amount of such data available to us, we may be unable to provide our demand partners with a bidding experience that is relevant, efficient, and effective or our supply partners with satisfactory revenue yields, which could adversely affect our business, financial condition, operating results, cash flows, and prospects.</w:t>
      </w:r>
    </w:p>
    <w:p>
      <w:pPr>
        <w:spacing w:after="0" w:line="6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business relies on the data provided to us by our demand partners, our supply partners, and consumers. The large amount of information we use in operating our platform is critical to the optimal functioning of our platform. If we are unable to maintain or effectively utilize the data provided to us, including data from our demand partners regarding consumer conversion, the value that we provide to our partners may be limited. In addition, the quality, accuracy, and timeliness of this information may suffer, which may lead to a negative bidding experience for demand partners using our platform, or decreased yields for supply partners using our platform, and could materially and adversely affect our business, financial condition, operating results, cash flows, and prospects.</w:t>
      </w:r>
    </w:p>
    <w:p>
      <w:pPr>
        <w:spacing w:after="0" w:line="102" w:lineRule="exact"/>
        <w:rPr>
          <w:sz w:val="20"/>
          <w:szCs w:val="20"/>
          <w:color w:val="auto"/>
        </w:rPr>
      </w:pPr>
    </w:p>
    <w:p>
      <w:pPr>
        <w:ind w:left="120" w:right="280"/>
        <w:spacing w:after="0" w:line="275" w:lineRule="auto"/>
        <w:rPr>
          <w:sz w:val="20"/>
          <w:szCs w:val="20"/>
          <w:color w:val="auto"/>
        </w:rPr>
      </w:pPr>
      <w:r>
        <w:rPr>
          <w:rFonts w:ascii="Arial" w:cs="Arial" w:eastAsia="Arial" w:hAnsi="Arial"/>
          <w:sz w:val="16"/>
          <w:szCs w:val="16"/>
          <w:color w:val="auto"/>
        </w:rPr>
        <w:t>We have made substantial investments, including time and human resources, into our proprietary technology platform, which relies on consumer-provided data, third-party data, predictive modeling, and analytics engines to maximize value for our platform users. We cannot assure you that we will be able to continually collect and retain sufficient data, or improve our data technologies to satisfy our operating needs. Failure to do so could materially and adversely affect our business, financial condition, operating results, cash flows and prospects.</w:t>
      </w:r>
    </w:p>
    <w:p>
      <w:pPr>
        <w:spacing w:after="0" w:line="75"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In addition, to the extent consumers or third parties provide our suppliers’ websites or our proprietary websites with inaccurate information or fail to provide information, the quality of Consumer Referrals offered to our demand partners through our platform may suffer. A decrease in quality of Consumer Referrals could lead to a reduction in use of our platform by our demand partners.</w:t>
      </w:r>
    </w:p>
    <w:p>
      <w:pPr>
        <w:spacing w:after="0" w:line="80"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b w:val="1"/>
          <w:bCs w:val="1"/>
          <w:i w:val="1"/>
          <w:iCs w:val="1"/>
          <w:color w:val="auto"/>
        </w:rPr>
        <w:t>We depend upon internet search companies to direct a significant portion of visitors to our suppliers’ websites and our proprietary websites. Changes in search engine algorithms have in the past harmed or may in the future harm the websites’ placements in both paid and organic search result listings, which may reduce the number of visitors to our supply partners’ websites and our proprietary websites and as a result, cause our revenue to decline.</w:t>
      </w:r>
    </w:p>
    <w:p>
      <w:pPr>
        <w:spacing w:after="0" w:line="96"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8"/>
          <w:szCs w:val="18"/>
          <w:color w:val="auto"/>
        </w:rPr>
        <w:t>Our success depends on the ability to attract online visitors to our suppliers’ websites and our proprietary websites and convert them into consumers for our partners in a cost-effective manner. We depend on internet search companies to direct a substantial share of visitors to third party and our proprietary websites. Search</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companies offer two types of search results: organic and paid listings. Organic listings are displayed based solely on formulas designed by the search companies. Paid listings are displayed based on a combination of the buyer’s bid price for particular keywords and the search engines’ assessment of the website’s relevance and quality. If one or more of the search engines or other online sources on which we or our suppliers rely for purchased listings modifies or terminates its relationship with us or decides to decrease its rating of the relevance and quality of our websites, our expenses could rise, we could lose consumers, and traffic to our suppliers’ websites and our proprietary websites could decrease, which could in turn decrease the amount and quality of Consumer Referrals made available for sale on our platform. Any of the foregoing could have a material and adverse effect on our business, financial condition, operating results, cash flows and prospects.</w:t>
      </w:r>
    </w:p>
    <w:p>
      <w:pPr>
        <w:spacing w:after="0" w:line="8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ability to maintain or grow the number of visitors to our suppliers’ websites and our proprietary websites from search companies is not entirely within our control. Search companies frequently revise their algorithms and changes in their algorithms have in the past caused or could in the future cause our suppliers’ websites and our proprietary websites to receive less favorable placements. There have been fluctuations in organic rankings for a number of our suppliers’ websites and some of the paid listing campaigns have also been harmed by search engine algorithmic changes. Search companies could determine that the content of our suppliers’ websites or our proprietary websites is either not relevant or is of poor quality.</w:t>
      </w:r>
    </w:p>
    <w:p>
      <w:pPr>
        <w:spacing w:after="0" w:line="102"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In addition, we or our supply partners may fail to optimally manage our paid listings, or our proprietary bid management technologies may fail, which may lead to a decrease in the number of visits to our supply partners’ websites or our proprietary websites. As a result, we may need to use more costly sources to replace lost visitors who could have contributed to our supply of Consumer Referrals, and such increased expense could adversely affect our business, financial condition, operating results, cash flows, and prospects. Even if we succeed in driving traffic to our suppliers’ websites and our proprietary websites, we may not be able to effectively monetize this traffic or otherwise retain users. Failure to do so could result in a smaller supply of Consumer Referrals available on our platform to our demand partners and thus lower revenue, which would have an adverse effect on our business, financial condition, operating results, cash flows, and prospects.</w:t>
      </w:r>
    </w:p>
    <w:p>
      <w:pPr>
        <w:spacing w:after="0" w:line="62" w:lineRule="exact"/>
        <w:rPr>
          <w:sz w:val="20"/>
          <w:szCs w:val="20"/>
          <w:color w:val="auto"/>
        </w:rPr>
      </w:pPr>
    </w:p>
    <w:p>
      <w:pPr>
        <w:jc w:val="both"/>
        <w:ind w:left="120" w:right="480"/>
        <w:spacing w:after="0" w:line="244" w:lineRule="auto"/>
        <w:rPr>
          <w:sz w:val="20"/>
          <w:szCs w:val="20"/>
          <w:color w:val="auto"/>
        </w:rPr>
      </w:pPr>
      <w:r>
        <w:rPr>
          <w:rFonts w:ascii="Arial" w:cs="Arial" w:eastAsia="Arial" w:hAnsi="Arial"/>
          <w:sz w:val="18"/>
          <w:szCs w:val="18"/>
          <w:b w:val="1"/>
          <w:bCs w:val="1"/>
          <w:i w:val="1"/>
          <w:iCs w:val="1"/>
          <w:color w:val="auto"/>
        </w:rPr>
        <w:t>We face risks and uncertainties related to a novel strain of the coronavirus and the disease it causes (COVID-19), which could significantly disrupt our operations and which could have a material and adverse impact on our business, financial condition, operating results, cash flows, and prospects. These risks and uncertainties could pertain to other viruses, pandemics or other unforeseen and broad-based public health crises.</w:t>
      </w:r>
    </w:p>
    <w:p>
      <w:pPr>
        <w:spacing w:after="0" w:line="9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business has been and may continue to be adversely impacted by the effects of COVID-19. In addition to negative macroeconomic effects on business and consumer demand, the COVID-19 outbreak and any other related adverse public health developments may cause declines in revenue and margin, and disruption to our business operations. The businesses of our partners have been negatively affected and may continue to be disrupted by reduced demand, declines in consumer credit, increased default rates, absenteeism, quarantines, and restrictions on employees’ ability to work, office closures, and travel or health-related restrictions. For example, in our travel vertical, COVID-19 has led to a dramatic reduction in consumers shopping for travel-related products, and there is uncertainty about the timing and extent to which demand for travel-related products will return to pre-pandemic levels. As a result, we have experienced a dramatic decline in revenue from the travel vertical and expect this trend to continue indefinitely. Certain insurance companies have seen new applications for their various insurance products decrease (e.g., declines in new applications for auto insurance due to lower car sales). Additionally, health insurance and life insurance carriers have faced a significant number of claims related to COVID-19. More generally, insurance companies face risks related to, among others, reduced demand for insurance products and decrease in premium revenue, particularly if their customers are unable to afford insurance, insurance shopping patterns are disrupted, vehicle and home purchases are curtailed, small businesses suspend or discontinue operations, and insurance agencies are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60"/>
        <w:spacing w:after="0" w:line="238" w:lineRule="auto"/>
        <w:rPr>
          <w:sz w:val="20"/>
          <w:szCs w:val="20"/>
          <w:color w:val="auto"/>
        </w:rPr>
      </w:pPr>
      <w:r>
        <w:rPr>
          <w:rFonts w:ascii="Arial" w:cs="Arial" w:eastAsia="Arial" w:hAnsi="Arial"/>
          <w:sz w:val="18"/>
          <w:szCs w:val="18"/>
          <w:color w:val="auto"/>
        </w:rPr>
        <w:t>unable or unwilling to write business. Depending on the magnitude and duration of any disruption’s effect on demand partners’ customer acquisition spending and/or the availability of quality Consumer Referrals from our supply partners, our business, financial condition, operating results, cash flows, and prospects could be adversely affected.</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addition, COVID-19 or other disease outbreaks will in the short-run, and may over the longer term, adversely affect the economies and financial markets within many countries, including in the United States, resulting in an economic downturn that could negatively affect customer acquisition spend by our demand partners or on consumer insurance product search activity (and, in turn, Consumer Referral availability). For example, certain companies that operate in the consumer credit industries, such as credit cards and personal loans, have tightened their lending criteria, which in turn may impact a consumer’s ability to afford products like insurance, and increased volatility in the financial markets may make it harder for companies to access the capital markets at favorable rates as needed. Such effects of COVID-19, and other similar effects, could result in reduced customer acquisition spend or drops in Consumer Referral availability, which could have a material and adverse effect on our business, financial condition, operating results, cash flows, and prospects. There can be no assurance that any decrease in revenue or margin resulting from COVID-19 will be offset by increased revenue or margin in subsequent periods or that our business, financial condition, operating results, cash flows, and prospects will remain consistent with current or pre-pandemic expectations and/or performances.</w:t>
      </w:r>
    </w:p>
    <w:p>
      <w:pPr>
        <w:spacing w:after="0" w:line="106" w:lineRule="exact"/>
        <w:rPr>
          <w:sz w:val="20"/>
          <w:szCs w:val="20"/>
          <w:color w:val="auto"/>
        </w:rPr>
      </w:pPr>
    </w:p>
    <w:p>
      <w:pPr>
        <w:jc w:val="both"/>
        <w:ind w:left="120" w:right="60"/>
        <w:spacing w:after="0" w:line="275" w:lineRule="auto"/>
        <w:rPr>
          <w:sz w:val="20"/>
          <w:szCs w:val="20"/>
          <w:color w:val="auto"/>
        </w:rPr>
      </w:pPr>
      <w:r>
        <w:rPr>
          <w:rFonts w:ascii="Arial" w:cs="Arial" w:eastAsia="Arial" w:hAnsi="Arial"/>
          <w:sz w:val="16"/>
          <w:szCs w:val="16"/>
          <w:color w:val="auto"/>
        </w:rPr>
        <w:t>Furthermore, we may experience disruptions to our business operations resulting from quarantines, self-isolations, or other restrictions on the ability of our employees to perform their jobs, conduct in-person meetings, and attend tradeshows, which may impact our sales and customer acquisition activities and our ability to design, develop or deliver our products and services in a timely manner or meet partner commitments, which could have a material and adverse impact on our business, financial condition, operating results, cash flows, and prospects.</w:t>
      </w:r>
    </w:p>
    <w:p>
      <w:pPr>
        <w:spacing w:after="0" w:line="75"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Moreover, to the extent the COVID-19 pandemic or any worsening of the global business and economic environment as a result thereof adversely affects our business, financial condition, operating results, cash flows, and prospects, it may also have the effect of heightening or exacerbating many of the other risks described in these risk factors, such as those relating to a reduction in DTC digital spend by our demand partners, our dependence on insurance carriers and sellers on our platform, seasonal fluctuations, and our ability to raise additional capital or otherwise refinance on acceptable terms when and as needed.</w:t>
      </w:r>
    </w:p>
    <w:p>
      <w:pPr>
        <w:spacing w:after="0" w:line="103" w:lineRule="exact"/>
        <w:rPr>
          <w:sz w:val="20"/>
          <w:szCs w:val="20"/>
          <w:color w:val="auto"/>
        </w:rPr>
      </w:pPr>
    </w:p>
    <w:p>
      <w:pPr>
        <w:ind w:left="120" w:right="380"/>
        <w:spacing w:after="0" w:line="237" w:lineRule="auto"/>
        <w:rPr>
          <w:sz w:val="20"/>
          <w:szCs w:val="20"/>
          <w:color w:val="auto"/>
        </w:rPr>
      </w:pPr>
      <w:r>
        <w:rPr>
          <w:rFonts w:ascii="Arial" w:cs="Arial" w:eastAsia="Arial" w:hAnsi="Arial"/>
          <w:sz w:val="18"/>
          <w:szCs w:val="18"/>
          <w:color w:val="auto"/>
        </w:rPr>
        <w:t>Given that the magnitude and duration of the impact of the COVID-19 pandemic on our business and operations remains uncertain, the continued spread of COVID-19 or the occurrence of other pandemics and the imposition of related public health measures and travel and business restrictions could have a material and adverse impact on our business, financial condition, operating results, cash flows, and prospects.</w:t>
      </w:r>
    </w:p>
    <w:p>
      <w:pPr>
        <w:spacing w:after="0" w:line="80" w:lineRule="exact"/>
        <w:rPr>
          <w:sz w:val="20"/>
          <w:szCs w:val="20"/>
          <w:color w:val="auto"/>
        </w:rPr>
      </w:pPr>
    </w:p>
    <w:p>
      <w:pPr>
        <w:ind w:left="120" w:right="200"/>
        <w:spacing w:after="0" w:line="262" w:lineRule="auto"/>
        <w:rPr>
          <w:sz w:val="20"/>
          <w:szCs w:val="20"/>
          <w:color w:val="auto"/>
        </w:rPr>
      </w:pPr>
      <w:r>
        <w:rPr>
          <w:rFonts w:ascii="Arial" w:cs="Arial" w:eastAsia="Arial" w:hAnsi="Arial"/>
          <w:sz w:val="18"/>
          <w:szCs w:val="18"/>
          <w:b w:val="1"/>
          <w:bCs w:val="1"/>
          <w:i w:val="1"/>
          <w:iCs w:val="1"/>
          <w:color w:val="auto"/>
        </w:rPr>
        <w:t>Our business could be adversely affected by natural disasters, public health crises, political crises, economic downturns or other unexpected events.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 significant natural disaster, such as an earthquake, fire, hurricane, tornado, flood or significant power outage, could disrupt our operations, platform, the internet or the operations of our third-party technology providers. In particular, our corporate headquarters are located in Los Angeles, a region known for seismic activity. In addition, any unforeseen public health crises, such as epidemics, political crises, terrorist attacks, war, and other political instability, or other catastrophic events, whether in the United States or abroad, could adversely affect our operations or the economy as a whole. The impact of any natural disaster, act of terrorism or other disruption to us or our third-party providers’ abilities could result in decreased demand for our offerings or a delay in the provision of our offerings, which could adversely affect our business, financial condition, operating results, cash flows, and prospects. All of the aforementioned risks may be further increased if our disaster recovery plans prove to be inadequate.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both"/>
        <w:ind w:left="120" w:right="500"/>
        <w:spacing w:after="0" w:line="236" w:lineRule="auto"/>
        <w:rPr>
          <w:sz w:val="20"/>
          <w:szCs w:val="20"/>
          <w:color w:val="auto"/>
        </w:rPr>
      </w:pPr>
      <w:r>
        <w:rPr>
          <w:rFonts w:ascii="Arial" w:cs="Arial" w:eastAsia="Arial" w:hAnsi="Arial"/>
          <w:sz w:val="18"/>
          <w:szCs w:val="18"/>
          <w:color w:val="auto"/>
        </w:rPr>
        <w:t>Our business, financial condition, operating results, cash flows, and prospects are also subject to global economic conditions. If general economic conditions deteriorate in the United States or in other markets where we operate, our demand partners’ customer acquisition spending and consumer insurance product search activity (and in turn, Consumer Referral availability) on our platform may decline. An economic downturn resulting in a prolonged recessionary period may have a further adverse effect on our business, financial condition, operating results, cash flows, and prospects.</w:t>
      </w:r>
    </w:p>
    <w:p>
      <w:pPr>
        <w:spacing w:after="0" w:line="83" w:lineRule="exact"/>
        <w:rPr>
          <w:sz w:val="20"/>
          <w:szCs w:val="20"/>
          <w:color w:val="auto"/>
        </w:rPr>
      </w:pPr>
    </w:p>
    <w:p>
      <w:pPr>
        <w:ind w:left="120" w:right="280"/>
        <w:spacing w:after="0" w:line="325"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divert our management’s attention, result in additional dilution to our stockholders, and otherwise disrupt our operations and harm our operating results, financial condition, and prospects.</w:t>
      </w:r>
    </w:p>
    <w:p>
      <w:pPr>
        <w:spacing w:after="0" w:line="35"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may determine to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or the acquisitions may cause diversion of management time and focus away from operating our business. Following any acquisition, we may face difficulty integrating technology, finance, and accounting, research and development, human resources, consumer information, and sales and marketing functions; challenges retaining acquired employees; future write-offs of intangibles or other assets; and potential litigation, claims or other known and unknown liabilities.</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Depending on the condition of any company or technology we may acquire, that acquisition may, at least in the near term, adversely affect our business, financial condition, operating results, cash flows, and prospects and, if not successfully integrated with our organization, may continue to have such effects over a longer period. We may not realize the anticipated benefits of any acquisitions and we may not be successful in overcoming these risks or any other problems encountered in connection with potential acquisitions. Our inability to overcome these risks could have an adverse effect on our profitability, return on equity, and return on assets, and our ability to implement our business strategy and enhance stockholder value, which in turn could have a material and adverse effect on our business, financial condition, operating results, cash flows, and prospects.</w:t>
      </w:r>
    </w:p>
    <w:p>
      <w:pPr>
        <w:spacing w:after="0" w:line="101"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Future acquisitions also could result in dilutive issuances of our equity securities and the incurrence of debt, which could harm our financial condition.</w:t>
      </w:r>
    </w:p>
    <w:p>
      <w:pPr>
        <w:spacing w:after="0" w:line="81"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Our quarterly revenue and results of operations may fluctuate significantly from quarter to quarter due to fluctuations in advertising spending, including seasonal and cyclical effects.</w:t>
      </w:r>
    </w:p>
    <w:p>
      <w:pPr>
        <w:spacing w:after="0" w:line="81" w:lineRule="exact"/>
        <w:rPr>
          <w:sz w:val="20"/>
          <w:szCs w:val="20"/>
          <w:color w:val="auto"/>
        </w:rPr>
      </w:pPr>
    </w:p>
    <w:p>
      <w:pPr>
        <w:ind w:left="120" w:right="220"/>
        <w:spacing w:after="0" w:line="269" w:lineRule="auto"/>
        <w:rPr>
          <w:sz w:val="20"/>
          <w:szCs w:val="20"/>
          <w:color w:val="auto"/>
        </w:rPr>
      </w:pPr>
      <w:r>
        <w:rPr>
          <w:rFonts w:ascii="Arial" w:cs="Arial" w:eastAsia="Arial" w:hAnsi="Arial"/>
          <w:sz w:val="16"/>
          <w:szCs w:val="16"/>
          <w:color w:val="auto"/>
        </w:rPr>
        <w:t>In addition to other factors that cause our results of operations to fluctuate, our results are also subject to significant seasonal fluctuation. In our property &amp; casualty insurance vertical, revenue and results in our last fiscal quarter are typically weaker than in our first three fiscal quarters due to lower supply of Consumer Referrals during the holiday period on a cost-effective basis and lower customer acquisition budgets from some demand partners. In our first fiscal quarter, this trend generally reverses with greater supply of Consumer Referrals and often new customer acquisition budgets at the beginning of the year for our partners with fiscal years ending December 31. In our health insurance vertical, revenue and results in our second and third fiscal quarters are typically weaker than in our first and last fiscal quarters during which the open enrollment period for health insurance and annual enrollment for Medicare drives a material increase in consumer search volume for health insurance and Medicare products and a related increase in demand partner customer acquisition budgets.</w:t>
      </w:r>
    </w:p>
    <w:p>
      <w:pPr>
        <w:spacing w:after="0" w:line="78"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8"/>
          <w:szCs w:val="18"/>
          <w:color w:val="auto"/>
        </w:rPr>
        <w:t>Other factors affecting our partners’ businesses include macroeconomic factors such as credit availability, the strength of the economy, and employment. Any of the foregoing seasonal trends, or the combination of them, may negatively impact our quarterly revenue and results of operations.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Furthermore, advertising spend on the internet, similar to traditional media, tends to be cyclical and discretionary as a result of factors beyond our control, including budgetary constraints and buying patterns of partners, as well as economic conditions affecting the internet and media industry. For example, weather and other events have in the past led to short-term decreases in insurance industry partner advertising spend, increases in loss ratios and damage or interruption in our partners’ operations, any of which can lead to decreased partner spend on online performance marketing. In addition, inherent industry specific risks (e.g., insurance industry loss ratios and cutbacks) and poor macroeconomic conditions as well as other short-term events could decrease our partners’ advertising spending and thereby have a material and adverse effect on our business, financial condition, operating results, cash flows, and prospects.</w:t>
      </w:r>
    </w:p>
    <w:p>
      <w:pPr>
        <w:spacing w:after="0" w:line="81" w:lineRule="exact"/>
        <w:rPr>
          <w:sz w:val="20"/>
          <w:szCs w:val="20"/>
          <w:color w:val="auto"/>
        </w:rPr>
      </w:pPr>
    </w:p>
    <w:p>
      <w:pPr>
        <w:ind w:left="120" w:right="360"/>
        <w:spacing w:after="0" w:line="262" w:lineRule="auto"/>
        <w:rPr>
          <w:sz w:val="20"/>
          <w:szCs w:val="20"/>
          <w:color w:val="auto"/>
        </w:rPr>
      </w:pPr>
      <w:r>
        <w:rPr>
          <w:rFonts w:ascii="Arial" w:cs="Arial" w:eastAsia="Arial" w:hAnsi="Arial"/>
          <w:sz w:val="18"/>
          <w:szCs w:val="18"/>
          <w:b w:val="1"/>
          <w:bCs w:val="1"/>
          <w:i w:val="1"/>
          <w:iCs w:val="1"/>
          <w:color w:val="auto"/>
        </w:rPr>
        <w:t>If the market for digital customer acquisition services fails to continue to develop, our success may be limited, and our revenue may decrease.</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digital customer acquisition services market is relatively new and rapidly evolving, and it uses different measurements than traditional media to gauge its effectiveness. Some of our current or potential partners have little or no experience using the internet for customer acquisition purposes and have allocated only limited portions of their customer acquisition budgets to the internet. The adoption of digital customer acquisition, particularly by those companies that have historically relied upon traditional media for customer acquisition, requires the acceptance of a new way of conducting business, exchanging information, and evaluating new customer acquisition technologies and services.</w:t>
      </w:r>
    </w:p>
    <w:p>
      <w:pPr>
        <w:spacing w:after="0" w:line="10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we may experience resistance from traditional advertising agencies that may be advising our partners. We cannot assure you that the market for digital customer acquisition services will continue to grow. If the market for digital customer acquisition services fails to continue to develop or develops more slowly than we anticipate, the success of our business may be limited, and our revenue may stop growing or decrease.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protect our brand, our ability to expand the use of our platform by buyers and sellers may be adversely affected.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Maintaining strong brand recognition and a reputation for delivering value to our partners is important to our business. A failure by us to protect our brand and deliver on these expectations could harm our reputation and damage our ability to attract and retain partners, which could adversely affect our business, financial condition, operating results, cash flows, and prospects. Furthermore, a failure to protect our trademarks and domain names could adversely affect our brand and make it more difficult for users to find our platform. In addition, our competitors may have more resources than we do and may spend more advertising their brands and services. Accordingly, we could be forced to incur greater expense marketing our brand in the future to preserve our position in the market and, even with such greater expense, may not be successful in doing so. Furthermore, complaints or negative publicity about our business practices, legal compliance, marketing and advertising campaigns, data privacy and security issues, and other aspects of our business, whether valid or not, could damage our reputation and brand. If we are unable to maintain or enhance client awareness of our brand cost-effectively, our business, financial condition, operating results, cash flows, and prospects could be materially and adversely affected.</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existing and any future indebtedness could adversely affect our ability to operate our business.</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On September 23, 2020, QuoteLab, LLC entered into the 2020 Credit Agreement with JPMorgan Chase Bank, N.A., as lender and administrative agent, and the other lenders from time to time party thereto, providing for the 2020 Credit Facilities consisting of (i) the 2020 Term Loan Facility and (ii) the 2020 Revolving Credit Facility. See “Description of certain indebtedness.” Proceeds from the 2020 Term Loan Facility were used to refinance the 2019 Credit Facilities and pay related fees and expenses and fund a distribution to equity holders of QL Holdings LLC.</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2020 Revolving Credit Facility is available for general corporate purposes. As of March , 2021, the aggregate principal amount of the 2020 Term Loan Facility was $ million and our borrowing capacity under the 2020 Revolving Credit Facility was $5.0 million. We could in the future incur additional indebtedness.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existing or future indebtedness could have important consequences, including:</w:t>
      </w:r>
    </w:p>
    <w:p>
      <w:pPr>
        <w:spacing w:after="0" w:line="117" w:lineRule="exact"/>
        <w:rPr>
          <w:sz w:val="20"/>
          <w:szCs w:val="20"/>
          <w:color w:val="auto"/>
        </w:rPr>
      </w:pPr>
    </w:p>
    <w:p>
      <w:pPr>
        <w:ind w:left="340" w:right="24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to payments on our indebtedness, which would reduce the amount of cash flow available to fund working capital, capital expenditures or other corporate purposes;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industry, and market conditions;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subjecting us to restrictive covenants, including restrictions on our ability to pay dividends and requiring the pledge of substantially all of our assets as collateral, that may reduce our ability to take certain corporate actions or obtain further debt or equity financing;</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plan for and respond to business opportunities or changes in our business or industry;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better debt servicing options.</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addition, our indebtedness under the 2020 Credit Facilities bears interest at a variable rate, making us vulnerable to increases in the market rate of interest. If the market rate of interest increases substantially, we will have to pay additional interest on this indebtedness, which would reduce cash available for our other business needs.</w:t>
      </w:r>
    </w:p>
    <w:p>
      <w:pPr>
        <w:spacing w:after="0" w:line="100"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We may not have sufficient funds, and may be unable to generate sufficient cash flows from operations, to pay the amounts due under our existing debt instruments. Failure to make payments or comply with other covenants under our existing or future debt instruments could result in an event of default. If an event of default occurs and the lender accelerates the amounts due, we may need to seek additional financing, which may not be available on acceptable terms, in a timely manner or at all. In such event, we may not be able to make accelerated payments, and the lender could seek to enforce security interests, if any, in the collateral securing such indebtedness, which includes or could include substantially all of our assets. In addition, the covenants under our existing or future debt instruments, any pledge of our assets as collateral and any negative pledge with respect to our intellectual property could limit our ability to obtain additional debt financing. Any of these events could have a material and adverse effect on our business, financial condition, operating results, cash flows, and prospects.</w:t>
      </w:r>
    </w:p>
    <w:p>
      <w:pPr>
        <w:spacing w:after="0" w:line="58" w:lineRule="exact"/>
        <w:rPr>
          <w:sz w:val="20"/>
          <w:szCs w:val="20"/>
          <w:color w:val="auto"/>
        </w:rPr>
      </w:pPr>
    </w:p>
    <w:p>
      <w:pPr>
        <w:ind w:left="120" w:right="240"/>
        <w:spacing w:after="0" w:line="262" w:lineRule="auto"/>
        <w:rPr>
          <w:sz w:val="20"/>
          <w:szCs w:val="20"/>
          <w:color w:val="auto"/>
        </w:rPr>
      </w:pPr>
      <w:r>
        <w:rPr>
          <w:rFonts w:ascii="Arial" w:cs="Arial" w:eastAsia="Arial" w:hAnsi="Arial"/>
          <w:sz w:val="18"/>
          <w:szCs w:val="18"/>
          <w:b w:val="1"/>
          <w:bCs w:val="1"/>
          <w:i w:val="1"/>
          <w:iCs w:val="1"/>
          <w:color w:val="auto"/>
        </w:rPr>
        <w:t>If we are unable to collect our receivables from our partners, our business, financial condition, operating results, cash flows, and prospects could be adversely affected.</w:t>
      </w:r>
    </w:p>
    <w:p>
      <w:pPr>
        <w:spacing w:after="0" w:line="8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expect to obtain payment from our partners for work performed and maintain an allowance against receivables for potential losses on partner accounts. Actual losses on partner receivables could differ from those that we have historically experienced or currently anticipate and, as a result, we may need to adjust our allowances. We may not accurately assess the creditworthiness of our partners. Macroeconomic conditions, such as any evolving industry standards, changing regulatory conditions, changing consumer and partner demands, and the effects of COVID-19, could also result in financial difficulties for our partners, including insolvency or bankruptcy. As a result, this could cause partners to delay payments to us, request modifications to their payment arrangements that could extend the timing of cash receipts, or default on their payment obligations to us. If we experience an increase in the time to bill and collect for our services, our business, financial condition, operating results, cash flows, and prospects could be adversely affected.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with respect to LIBOR may affect our borrowings under our credit facilities.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On July 27, 2017, the Financial Conduct Authority announced that it would phase-out LIBOR by the end of 2021. It is unclear whether new methods of calculating LIBOR will be established such that it effectively continues to exist after 2021, or if alternative rates or benchmarks will be adopted. Changes in the method of calculating LIBOR, or the replacement of LIBOR with an alternative rate or benchmark, may adversely affect interest rates and result in higher borrowing costs. We cannot predict the effect of the potential changes to LIBOR or the establishment and use of alternative rates or benchmarks.</w:t>
      </w:r>
    </w:p>
    <w:p>
      <w:pPr>
        <w:spacing w:after="0" w:line="103" w:lineRule="exact"/>
        <w:rPr>
          <w:sz w:val="20"/>
          <w:szCs w:val="20"/>
          <w:color w:val="auto"/>
        </w:rPr>
      </w:pPr>
    </w:p>
    <w:p>
      <w:pPr>
        <w:jc w:val="both"/>
        <w:ind w:left="120" w:right="260"/>
        <w:spacing w:after="0" w:line="275" w:lineRule="auto"/>
        <w:rPr>
          <w:sz w:val="20"/>
          <w:szCs w:val="20"/>
          <w:color w:val="auto"/>
        </w:rPr>
      </w:pPr>
      <w:r>
        <w:rPr>
          <w:rFonts w:ascii="Arial" w:cs="Arial" w:eastAsia="Arial" w:hAnsi="Arial"/>
          <w:sz w:val="16"/>
          <w:szCs w:val="16"/>
          <w:color w:val="auto"/>
        </w:rPr>
        <w:t>The 2020 Credit Agreement provides that interest may be based on LIBOR and contains provisions for the establishment of a replacement rate to LIBOR in the event LIBOR is phased-out; however, uncertainty remains as to any such replacement rate and any such replacement rate may be higher or lower than LIBOR may have been. The establishment of a replacement rate or implementation of any other potential changes may materially and adversely affect our business, financial condition, operating results, cash flows, and prospects.</w:t>
      </w:r>
    </w:p>
    <w:p>
      <w:pPr>
        <w:spacing w:after="0" w:line="55" w:lineRule="exact"/>
        <w:rPr>
          <w:sz w:val="20"/>
          <w:szCs w:val="20"/>
          <w:color w:val="auto"/>
        </w:rPr>
      </w:pPr>
    </w:p>
    <w:p>
      <w:pPr>
        <w:ind w:left="120" w:right="480"/>
        <w:spacing w:after="0" w:line="262" w:lineRule="auto"/>
        <w:rPr>
          <w:sz w:val="20"/>
          <w:szCs w:val="20"/>
          <w:color w:val="auto"/>
        </w:rPr>
      </w:pPr>
      <w:r>
        <w:rPr>
          <w:rFonts w:ascii="Arial" w:cs="Arial" w:eastAsia="Arial" w:hAnsi="Arial"/>
          <w:sz w:val="18"/>
          <w:szCs w:val="18"/>
          <w:b w:val="1"/>
          <w:bCs w:val="1"/>
          <w:i w:val="1"/>
          <w:iCs w:val="1"/>
          <w:color w:val="auto"/>
        </w:rPr>
        <w:t>Operating and growing our business may require additional capital, and if capital is not available to us, our business, financial condition, operating results, cash flows, and prospects may suffer.</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Operating and growing our business is expected to require further investments in our technology and operations. We may be presented with opportunities that we want to pursue, and unforeseen challenges may present themselves, any of which could cause us to require additional capital beyond our internally generated cash flows. At any given time,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financial condition, operating results, cash flows, and prospects could be materially and adversely affected.</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tax laws or exposure to additional income tax liabilities could affect our future profitability.</w:t>
      </w:r>
    </w:p>
    <w:p>
      <w:pPr>
        <w:spacing w:after="0" w:line="124"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We are subject to income taxes in the United States, various state and local jurisdictions and foreign jurisdictions. Our effective tax rate and profitability could be subject to volatility or adversely affected by a number of factors, including:</w:t>
      </w:r>
    </w:p>
    <w:p>
      <w:pPr>
        <w:spacing w:after="0" w:line="114"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applicable tax laws and regulations, or their interpretation and application, including the possibility of retroactive effect;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and tax standards or practice;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valuation of deferred tax assets and liabilities;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operating results before taxes.</w:t>
      </w:r>
    </w:p>
    <w:p>
      <w:pPr>
        <w:spacing w:after="0" w:line="10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addition, we may be subject to audits of our income, sales, and other taxes by U.S. federal, state and local taxing authorities, and foreign authorities. Outcomes from these audits could have a material and adverse effect on our business, financial condition, operating results, cash flows, and prospects.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 forma financial information may not be representative of our future performance.</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preparing the unaudited pro forma consolidated financial information included in this prospectus, we have made adjustments to our historical financial information based upon currently available information and upon assumptions that our management believes are reasonable in order to reflect, on a pro forma basis, the impact of the IPO reorganization and the IPO and as further adjusted for this offering, on the historical financial information of QL Holdings LLC. The estimates and assumptions used in the calculation of the unaudited pro forma consolidated financial information in this prospectus may be materially different from our actual experience. Accordingly, the unaudited pro forma consolidated financial information included in this prospectus does not purport to indicate the results that may be realized in the future, nor does it give effect to any events other than those described in our unaudited pro forma consolidated financial statements and notes thereto.</w:t>
      </w:r>
    </w:p>
    <w:p>
      <w:pPr>
        <w:spacing w:after="0" w:line="80" w:lineRule="exact"/>
        <w:rPr>
          <w:sz w:val="20"/>
          <w:szCs w:val="20"/>
          <w:color w:val="auto"/>
        </w:rPr>
      </w:pPr>
    </w:p>
    <w:p>
      <w:pPr>
        <w:ind w:left="120" w:right="80"/>
        <w:spacing w:after="0" w:line="262" w:lineRule="auto"/>
        <w:rPr>
          <w:sz w:val="20"/>
          <w:szCs w:val="20"/>
          <w:color w:val="auto"/>
        </w:rPr>
      </w:pPr>
      <w:r>
        <w:rPr>
          <w:rFonts w:ascii="Arial" w:cs="Arial" w:eastAsia="Arial" w:hAnsi="Arial"/>
          <w:sz w:val="18"/>
          <w:szCs w:val="18"/>
          <w:b w:val="1"/>
          <w:bCs w:val="1"/>
          <w:i w:val="1"/>
          <w:iCs w:val="1"/>
          <w:color w:val="auto"/>
        </w:rPr>
        <w:t>We may from time to time be subject to litigation, which may be extremely costly to defend, could result in substantial judgment or settlement costs or subject us to other remedies.</w:t>
      </w:r>
    </w:p>
    <w:p>
      <w:pPr>
        <w:spacing w:after="0" w:line="81"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We are currently not a party to any material legal proceedings. From time to time, however, we may be involved in various legal proceedings, including, but not limited to, actions relating to breach of contract and intellectual property infringement, misappropriation or other violation. Claims may be expensive to defend, may divert management’s time away from our operations, and may affect the availability and premiums of our liability insurance coverage, regardless of whether they are meritorious or ultimately lead to a judgment against us. We cannot assure you that we will be able to successfully defend or resolve any current or future litigation matters, in which case those litigation matters could have a material and adverse effect on our business, financial condition, operating results, cash flows, and prospects.</w:t>
      </w:r>
    </w:p>
    <w:p>
      <w:pPr>
        <w:spacing w:after="0" w:line="56" w:lineRule="exact"/>
        <w:rPr>
          <w:sz w:val="20"/>
          <w:szCs w:val="20"/>
          <w:color w:val="auto"/>
        </w:rPr>
      </w:pPr>
    </w:p>
    <w:p>
      <w:pPr>
        <w:ind w:left="120" w:right="480"/>
        <w:spacing w:after="0" w:line="262" w:lineRule="auto"/>
        <w:rPr>
          <w:sz w:val="20"/>
          <w:szCs w:val="20"/>
          <w:color w:val="auto"/>
        </w:rPr>
      </w:pPr>
      <w:r>
        <w:rPr>
          <w:rFonts w:ascii="Arial" w:cs="Arial" w:eastAsia="Arial" w:hAnsi="Arial"/>
          <w:sz w:val="18"/>
          <w:szCs w:val="18"/>
          <w:b w:val="1"/>
          <w:bCs w:val="1"/>
          <w:i w:val="1"/>
          <w:iCs w:val="1"/>
          <w:color w:val="auto"/>
        </w:rPr>
        <w:t>Sellers, vendors, or their respective affiliates may engage in unauthorized or unlawful acts that could subject us to significant liability or cause us to lose demand partners and revenue.</w:t>
      </w:r>
    </w:p>
    <w:p>
      <w:pPr>
        <w:spacing w:after="0" w:line="81" w:lineRule="exact"/>
        <w:rPr>
          <w:sz w:val="20"/>
          <w:szCs w:val="20"/>
          <w:color w:val="auto"/>
        </w:rPr>
      </w:pPr>
    </w:p>
    <w:p>
      <w:pPr>
        <w:ind w:left="120" w:right="100"/>
        <w:spacing w:after="0" w:line="268" w:lineRule="auto"/>
        <w:rPr>
          <w:sz w:val="20"/>
          <w:szCs w:val="20"/>
          <w:color w:val="auto"/>
        </w:rPr>
      </w:pPr>
      <w:r>
        <w:rPr>
          <w:rFonts w:ascii="Arial" w:cs="Arial" w:eastAsia="Arial" w:hAnsi="Arial"/>
          <w:sz w:val="16"/>
          <w:szCs w:val="16"/>
          <w:color w:val="auto"/>
        </w:rPr>
        <w:t>We generate a majority of our Consumer Referrals from online media that we source directly from our supply partners’ websites, as well as indirectly from the affiliates of our supply partners. We also rely on third-party call centers and email marketers. Some of these third parties, vendors, and their respective affiliates are authorized to use our demand partners’ brands, subject to contractual restrictions. Any activity by suppliers, vendors, or their respective affiliates which violates the marketing guidelines of our demand partners or that our demand partners view as potentially damaging to their brands, whether or not permitted by our contracts with our demand partners, could harm our relationships and cause demand partners to terminate their relationship with us, resulting in a loss of revenue. Moreover, because we do not have a direct contractual relationship with the affiliates of our suppliers, we may not be able to monitor the compliance activity of such affiliates. If we are unable to cause our suppliers to monitor and enforce our demand partners’ contractual restrictions on such affiliates, our demand partners may terminate their relationships with us or decrease their customer acquisition budgets with us. In addition, we may also face liability for any failure of our suppliers, vendors or their respective affiliates to comply with regulatory requirements.</w:t>
      </w:r>
    </w:p>
    <w:p>
      <w:pPr>
        <w:spacing w:after="0" w:line="78"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law is unsettled on the extent of liability that an advertiser has for the activities of sellers or vendors. Insurance regulations may impose liability on our demand partners for misrepresentations made by their marketing service providers. In addition, certain of our contracts impose liability on us, including indemnification obligations, for the acts of our sellers or vendors. We could be subject to costly litigation and, if we are unsuccessful in defending ourselves, we could incur damages for the unauthorized or unlawful acts of sellers or vendors.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intellectual property rights and our technology</w:t>
      </w:r>
    </w:p>
    <w:p>
      <w:pPr>
        <w:spacing w:after="0" w:line="114" w:lineRule="exact"/>
        <w:rPr>
          <w:sz w:val="20"/>
          <w:szCs w:val="20"/>
          <w:color w:val="auto"/>
        </w:rPr>
      </w:pPr>
    </w:p>
    <w:p>
      <w:pPr>
        <w:ind w:left="120" w:right="180"/>
        <w:spacing w:after="0" w:line="262" w:lineRule="auto"/>
        <w:rPr>
          <w:sz w:val="20"/>
          <w:szCs w:val="20"/>
          <w:color w:val="auto"/>
        </w:rPr>
      </w:pPr>
      <w:r>
        <w:rPr>
          <w:rFonts w:ascii="Arial" w:cs="Arial" w:eastAsia="Arial" w:hAnsi="Arial"/>
          <w:sz w:val="18"/>
          <w:szCs w:val="18"/>
          <w:b w:val="1"/>
          <w:bCs w:val="1"/>
          <w:i w:val="1"/>
          <w:iCs w:val="1"/>
          <w:color w:val="auto"/>
        </w:rPr>
        <w:t>If we are unable to adequately obtain, maintain, protect or enforce our intellectual property rights, our ability to compete could be harmed.</w:t>
      </w:r>
    </w:p>
    <w:p>
      <w:pPr>
        <w:spacing w:after="0" w:line="81"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Our ability to compete effectively depends upon our ability to obtain, maintain, protect, and enforce our intellectual property rights, proprietary systems, and technology. We rely on a combination of trade secret, trademark and copyright law, confidentiality agreements, and technical measures to establish, maintain and protect our intellectual property rights and technology. These laws are subject to change at any time and could further limit our ability to protect our intellectual property rights. Additionally, there is uncertainty concerning the scope of patent and other intellectual property protection for software and business methods, which are fields in which we rely on intellectual property laws to protect our rights. Despite our efforts to obtain, maintain, protect, and enforce our intellectual property rights, these efforts may not be sufficient to effectively prevent unauthorized disclosure or unauthorized use of our trade secrets or other confidential information or to prevent third parties from infringing, misappropriating, diluting or otherwise violating our intellectual property rights and offering similar or superior functionality. To the extent we are able to obtain enforceable intellectual property rights, such intellectual property rights may not prevent third parties from reverse engineering our proprietary information or independently developing product and service technology offerings and services similar to or duplicative of our product and service offerings. For example, monitoring and protecting our intellectual property rights can be challenging and costly and we may not be effective in policing or prosecuting such unauthorized use or disclosure.</w:t>
      </w:r>
    </w:p>
    <w:p>
      <w:pPr>
        <w:spacing w:after="0" w:line="28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also may fail to maintain or be unable to obtain adequate protections for certain of our intellectual property rights in the U.S. or certain foreign countries, and our intellectual property rights may not receive the same degree of protection in foreign countries as they would in the U.S. because of the differences in foreign patent, trademark, copyright, and other laws concerning proprietary rights. Any of our intellectual property rights may be challenged or circumvented by others or invalidated or held unenforceable through administrative process or litigation in the U.S. or in foreign jurisdictions. Furthermore, legal standards relating to the validity, enforceability, and scope of protection of intellectual property rights are uncertain. In addition, our competitors may attempt to copy unprotected aspects of our product design or independently develop similar technology or design around our intellectual property rights. Third parties also may take actions that diminish the value of our proprietary rights or our reputation or cause partner confusion through the use of similar service names or domain names. Litigation regarding any intellectual property disputes may be costly and disruptive to us. Any of these results would harm our business, financial condition, operating results, cash flows, and prospects.</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Additionally, we rely, in part, on trade secrets, proprietary know-how, and other confidential information to maintain our competitive position. We enter into confidentiality and invention assignment agreements with our employees and enter into confidentiality agreements with third parties, including our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If any of</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our trade secrets were to be disclosed to or independently developed by a competitor or other third party, our competitive position would be materially and adversely harmed.</w:t>
      </w:r>
    </w:p>
    <w:p>
      <w:pPr>
        <w:spacing w:after="0" w:line="101"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We currently hold various domain names relating to our brand, including mediaalpha.com, quotelab.com, and healthplans.com. Failure to maintain our domain names could adversely affect our reputation and brand and make it more difficult for current and future partners to find our website and our platform. We may be unable, without significant cost or at all, to prevent third parties from acquiring domain names that are similar to, infringe upon or otherwise decrease the value of our trademarks and other proprietary rights.</w:t>
      </w:r>
    </w:p>
    <w:p>
      <w:pPr>
        <w:spacing w:after="0" w:line="80"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81"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Third parties may be able to successfully challenge, oppose, invalidate, render unenforceable, dilute, misappropriate or circumvent our trademarks, copyrights, and other intellectual property rights. Additionally,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and become increasingly high profile, the possibility of receiving a larger number of intellectual property claims against us grows. In addition, various “non-practicing entities,” and other intellectual property rights holders may in the future attempt to assert intellectual property claims against us or seek to monetize the intellectual property rights they own to extract value through licensing or other settlements.</w:t>
      </w:r>
    </w:p>
    <w:p>
      <w:pPr>
        <w:spacing w:after="0" w:line="284"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Any claim of infringement or other proceeding involving our intellectual property rights by a third party, even those without merit, against us or for which we are required to provide indemnification could cause us to incur substantial costs defending against the claim, could distract our management from our business, and could require us to cease use of such intellectual property. Further, because of the substantial amount of discovery required in connection with intellectual property litigation, we risk compromising our confidential information during this type of litigation. We may be required to make substantial payments for legal fees, settlement fees, damages, royalties, or other fees in connection with a claimant securing a judgment against us. If a third party is able to obtain an injunction preventing us from accessing such third party’s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78"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We may be required to spend significant resources in order to monitor and protect our intellectual property rights, and some violations may be difficult or impossible to detect. Actions we may take to enforce our intellectual property rights may be expensive and divert management’s attention away from the ordinary operation of our business and could result in the impairment or loss of portions of our intellectual property. Our efforts to enforce our intellectual property rights may be met with defenses, counterclaims, and countersuits attacking the validity and enforceability of our intellectual property rights, and, if such defenses, counterclaims, and countersuits are successful, we could lose valuable intellectual property rights. Our inability to secure and protect our intellectual property rights could impair the functionality of our platform, delay introductions of enhancements to our platform, result in our substituting inferior or more costly technologies into our platform, or harm our reputation and brand, and could materially and adversely affect our brand and business, financial condition, operating results, cash flows, and prospects. Furthermore, such enforcement actions, even if successful, may not result in an adequate remedy. In addition, many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companies have the capability to dedicate greater resources to enforce their intellectual property rights and to defend claims that may be brought against them.</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operating results, cash flows, and prospects.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commercially reasonable terms, or at all, we could be required to develop alternative non-infringing technology, which could require significant time, effort and expense, and may ultimately not be successful. If we cannot license or develop technology for any infringing aspect of our business, we would be forced to limit our services, which could affect our ability to compete effectively. Any of these results would harm our business, financial condition, operating results, cash flows, and prospects.</w:t>
      </w:r>
    </w:p>
    <w:p>
      <w:pPr>
        <w:spacing w:after="0" w:line="86" w:lineRule="exact"/>
        <w:rPr>
          <w:sz w:val="20"/>
          <w:szCs w:val="20"/>
          <w:color w:val="auto"/>
        </w:rPr>
      </w:pPr>
    </w:p>
    <w:p>
      <w:pPr>
        <w:ind w:left="120" w:right="180"/>
        <w:spacing w:after="0" w:line="248" w:lineRule="auto"/>
        <w:rPr>
          <w:sz w:val="20"/>
          <w:szCs w:val="20"/>
          <w:color w:val="auto"/>
        </w:rPr>
      </w:pPr>
      <w:r>
        <w:rPr>
          <w:rFonts w:ascii="Arial" w:cs="Arial" w:eastAsia="Arial" w:hAnsi="Arial"/>
          <w:sz w:val="18"/>
          <w:szCs w:val="18"/>
          <w:b w:val="1"/>
          <w:bCs w:val="1"/>
          <w:i w:val="1"/>
          <w:iCs w:val="1"/>
          <w:color w:val="auto"/>
        </w:rPr>
        <w:t>Our business depends on our ability to maintain and improve the technological infrastructure that supports our platform, and any significant disruption in service on our platform could result in a loss of partners, which could harm our business, financial condition, operating results, cash flows, and prospects.</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ability to service partners depends on the reliable performance of our technological infrastructure, including the cloud computing platforms we use. Interruptions, delays or failures in these systems, whether due to our cloud computing and other vendors, adverse weather conditions, natural disasters, power loss, computer viruses, cybersecurity attacks, physical break-ins, terrorism, errors in our software or otherwise, could be prolonged and could affect the security or availability of our platform. Our systems or those of third parties may also contain undetected errors or other performance problems or may fail due to human error. The reliability and security of our systems, and those of our partners and vendors, is important not only to maintaining our platform, but also to maintaining our reputation and ensuring the proper protection of our confidential and proprietary information. If we experience operational failures or prolonged disruptions or delays in the availability of our systems, we could lose current and potential partners, which could harm our business, financial condition, operating results, cash flows, and prospects.</w:t>
      </w:r>
    </w:p>
    <w:p>
      <w:pPr>
        <w:spacing w:after="0" w:line="106" w:lineRule="exact"/>
        <w:rPr>
          <w:sz w:val="20"/>
          <w:szCs w:val="20"/>
          <w:color w:val="auto"/>
        </w:rPr>
      </w:pPr>
    </w:p>
    <w:p>
      <w:pPr>
        <w:jc w:val="both"/>
        <w:ind w:left="120" w:right="240"/>
        <w:spacing w:after="0" w:line="272" w:lineRule="auto"/>
        <w:rPr>
          <w:sz w:val="20"/>
          <w:szCs w:val="20"/>
          <w:color w:val="auto"/>
        </w:rPr>
      </w:pPr>
      <w:r>
        <w:rPr>
          <w:rFonts w:ascii="Arial" w:cs="Arial" w:eastAsia="Arial" w:hAnsi="Arial"/>
          <w:sz w:val="16"/>
          <w:szCs w:val="16"/>
          <w:color w:val="auto"/>
        </w:rPr>
        <w:t>Any errors, defects, or disruptions in our platform, or other performance problems with our platform could harm our brand and may damage the businesses of our partners. Our online systems, including our platform, could contain undetected errors, or “bugs,” that could adversely affect their performance. Additionally, we update our platform and our other online systems. These updates may contain undetected errors when first introduced or released, which may cause disruptions in our services and may, as a result, cause us to lose current and potential partners, which could harm our business, financial condition, operating results, cash flows, and prospects.</w:t>
      </w:r>
    </w:p>
    <w:p>
      <w:pPr>
        <w:spacing w:after="0" w:line="58"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b w:val="1"/>
          <w:bCs w:val="1"/>
          <w:i w:val="1"/>
          <w:iCs w:val="1"/>
          <w:color w:val="auto"/>
        </w:rPr>
        <w:t>We rely on third-party service providers for many aspects of our business, including the operation of our platform, and any disruption of service experienced by such third-party service provider or our failure to manage and maintain existing relationships or identify other high-quality, third-party service providers could harm our business, financial condition, operating results, cash flows, and prospects.</w:t>
      </w:r>
    </w:p>
    <w:p>
      <w:pPr>
        <w:spacing w:after="0" w:line="96"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8"/>
          <w:szCs w:val="18"/>
          <w:color w:val="auto"/>
        </w:rPr>
        <w:t>Information technology systems form a key part of our business and accordingly we are dependent on our relationships with third-party service providers that provide the infrastructure for our platform and technological systems, including our cloud vendors and data center providers. If these third parties experience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difficulty providing the services we require or meeting our standards for those services, or experience disruptions or financial distress or cease operations temporarily or permanently, it could make it difficult for us to operate some aspects of our business. In addition, such events could cause us to experience increased costs and delay our ability to provide services to partners until we have found alternative sources of the services provided by these third parties. If we are unsuccessful in identifying or finding high-quality, third-party service providers, if we fail to negotiate cost-effective relationships with them or if we are ineffective in managing and maintaining these relationships, it could materially and adversely affect our business, financial condition, operating results, cash flows, and prospects.</w:t>
      </w:r>
    </w:p>
    <w:p>
      <w:pPr>
        <w:spacing w:after="0" w:line="82" w:lineRule="exact"/>
        <w:rPr>
          <w:sz w:val="20"/>
          <w:szCs w:val="20"/>
          <w:color w:val="auto"/>
        </w:rPr>
      </w:pPr>
    </w:p>
    <w:p>
      <w:pPr>
        <w:ind w:left="120" w:right="440"/>
        <w:spacing w:after="0" w:line="325" w:lineRule="auto"/>
        <w:rPr>
          <w:sz w:val="20"/>
          <w:szCs w:val="20"/>
          <w:color w:val="auto"/>
        </w:rPr>
      </w:pPr>
      <w:r>
        <w:rPr>
          <w:rFonts w:ascii="Arial" w:cs="Arial" w:eastAsia="Arial" w:hAnsi="Arial"/>
          <w:sz w:val="16"/>
          <w:szCs w:val="16"/>
          <w:b w:val="1"/>
          <w:bCs w:val="1"/>
          <w:i w:val="1"/>
          <w:iCs w:val="1"/>
          <w:color w:val="auto"/>
        </w:rPr>
        <w:t>We rely on Amazon Web Services to deliver our platform to our partners, and any disruption of, or interference with, our use of Amazon Web Services could adversely affect our business, financial condition, operating results, cash flows, and prospects.</w:t>
      </w:r>
    </w:p>
    <w:p>
      <w:pPr>
        <w:spacing w:after="0" w:line="3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Amazon Web Services (“AWS”) is a third-party provider of cloud infrastructure services. We outsource substantially all of the infrastructure relating to our platform to AWS. AWS provides the cloud computing infrastructure we use to host our website, serve our users and support our operations and many of the internal tools we use to operate our business. Our platform, website, and internal tools use compute, storage, data transfer, and other functions and services provided by AWS. We do not have control over the operations of the facilities of AWS that we use. AWS’ facilities may be vulnerable to damage or interruption from earthquakes, hurricanes, floods, fires, cybersecurity attacks, terrorist attacks, power losses, telecommunications failures, and other events beyond our control.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exacerbated if our or our partners’ business continuity and disaster recovery plans prove to be inadequate.</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Additionally, AWS may experience threats or attacks from computer malware, ransomware, viruses, social engineering (including phishing attacks), denial of service or other attacks, employee theft or misuse, and general hacking, which have become more prevalent in our industry. Any of these security incidents could result in unauthorized access to, damage to, disablement or encryption of, use or misuse of, disclosure of, modification of, destruction of, or loss of our data or our partners’ data or disrupt our ability to provide our platform or service.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would reduce the attractiveness of our platform to our partners, thereby reducing revenue. Moreover, negative publicity arising from these types of disruptions could damage our reputation and may adversely impact </w:t>
      </w:r>
      <w:r>
        <w:rPr>
          <w:rFonts w:ascii="Arial" w:cs="Arial" w:eastAsia="Arial" w:hAnsi="Arial"/>
          <w:sz w:val="18"/>
          <w:szCs w:val="18"/>
          <w:b w:val="1"/>
          <w:bCs w:val="1"/>
          <w:color w:val="auto"/>
        </w:rPr>
        <w:t>the</w:t>
      </w:r>
      <w:r>
        <w:rPr>
          <w:rFonts w:ascii="Arial" w:cs="Arial" w:eastAsia="Arial" w:hAnsi="Arial"/>
          <w:sz w:val="18"/>
          <w:szCs w:val="18"/>
          <w:color w:val="auto"/>
        </w:rPr>
        <w:t xml:space="preserve"> use of our platform. We may not carry sufficient business interruption insurance to compensate us for losses that may occur as a result of any events that cause interruptions in our service.</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AWS does not have an obligation to renew its agreements with us on commercially reasonable terms, or at all. Although alternative data center providers could host our platform on a substantially similar basis to AWS, transitioning the cloud infrastructure currently hosted by AWS to alternative providers could potentially be disruptive and we could incur significant one-time costs. If we are unable to renew our agreement with AWS on commercially reasonable terms, our agreement with AWS is prematurely terminated, or we add additional infrastructure providers, we may experience costs or downtime in connection with the transfer to, or the addition of, new data center providers. If AWS or other infrastructure providers increase the costs of their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services, our business, financial condition, operating results, cash flows, and prospects could be materially and adversely affected.</w:t>
      </w:r>
    </w:p>
    <w:p>
      <w:pPr>
        <w:spacing w:after="0" w:line="84" w:lineRule="exact"/>
        <w:rPr>
          <w:sz w:val="20"/>
          <w:szCs w:val="20"/>
          <w:color w:val="auto"/>
        </w:rPr>
      </w:pPr>
    </w:p>
    <w:p>
      <w:pPr>
        <w:ind w:left="120" w:right="80"/>
        <w:spacing w:after="0" w:line="262"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those of our partners or third-party service providers.</w:t>
      </w:r>
    </w:p>
    <w:p>
      <w:pPr>
        <w:spacing w:after="0" w:line="81"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Our systems and those of our partners and third-party service providers could be vulnerable to hardware and cybersecurity issues. Our operations are dependent upon the ability to protect our or our third-party service providers’ computer equipment and systems against telecommunications failure or a similar catastrophic event. Cybersecurity incidents are increasing in frequency and evolving in nature and include, but are not limited to, installation of malicious software, ransomware, viruses, phishing attacks, denial of service or other attacks, breach by intentional or negligent conduct on the part of employees or other internal sources, unauthorized access to data and other electronic security breaches. Concerns about security increase when we transmit information (including personal data) electronically. Electronic transmissions can be subject to attack, interception, loss or corruption. In addition, computer viruses and malware can be distributed and spread rapidly over the internet and could infiltrate our systems or those of our buyers, sellers, and third-party service providers. Infiltration of our systems or those of our partners and third-party service providers could in the future lead to disruptions in systems, accidental or unauthorized access to or disclosure, loss, destruction, disablement or encryption of, use or misuse of or modification of confidential or otherwise protected information (including personal data) and the corruption of data.</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Any damage or failure that causes an interruption in our operations could have an adverse effect on our business, financial condition, operating results, cash flows, and prospects. In addition, our operations are dependent upon our ability to protect the computer systems and network infrastructure utilized by us against damage from cybersecurity attacks by sophisticated third parties with substantial computing resources and capabilities and other disruptive problems caused by the internet or other users. Such disruptions would jeopardize the security of information stored in and transmitted through our computer systems and network infrastructure, which may result in significant liability and damage our reputation.</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take efforts to protect our systems and data, including establishing internal processes and implementing technological measures designed to provide multiple layers of security, and contract with third-party service providers to take similar steps. However, it is difficult or impossible to defend against every risk being posed by changing technologies as well as criminals’ intent on committing cyber-crime, and these efforts may not be successful in preventing, detecting, or stopping attacks. The increasing sophistication and resources of cyber criminals and other non-state threat actors and increased actions by nation-state actors make keeping up with new threats difficult and could result in a breach of security. Controls employed by our information technology department and our partners and third-party service providers, including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and adverse effect on our business, financial condition, operating results, cash flows, and prospects.</w:t>
      </w:r>
    </w:p>
    <w:p>
      <w:pPr>
        <w:spacing w:after="0" w:line="10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To the extent our systems rely on our partners or third-party service providers, through either a connection to, or an integration with, those third parties’ systems, the risk of cybersecurity attacks and loss, corruption, or unauthorized publication of our information or the confidential information of consumers and employees may increase. Third-party risks may include insufficient security measures, data location uncertainty, and the possibility of data storage in inappropriate jurisdictions where laws or security measures may be inadequate. Although we generally have agreements relating to cybersecurity and data privacy in place with our partners and third-party service providers, they are limited in nature and we cannot assure you that such agreements will prevent the accidental or unauthorized access to or disclosure, loss, destruction, disablement or encryption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of, use or misuse of or modification of data (including personal data) or enable us to obtain adequate or any reimbursement from our partners or third-party service providers in the event we should suffer any such incidents.</w:t>
      </w:r>
    </w:p>
    <w:p>
      <w:pPr>
        <w:spacing w:after="0" w:line="101" w:lineRule="exact"/>
        <w:rPr>
          <w:sz w:val="20"/>
          <w:szCs w:val="20"/>
          <w:color w:val="auto"/>
        </w:rPr>
      </w:pPr>
    </w:p>
    <w:p>
      <w:pPr>
        <w:ind w:left="120" w:right="100"/>
        <w:spacing w:after="0" w:line="267" w:lineRule="auto"/>
        <w:rPr>
          <w:sz w:val="20"/>
          <w:szCs w:val="20"/>
          <w:color w:val="auto"/>
        </w:rPr>
      </w:pPr>
      <w:r>
        <w:rPr>
          <w:rFonts w:ascii="Arial" w:cs="Arial" w:eastAsia="Arial" w:hAnsi="Arial"/>
          <w:sz w:val="16"/>
          <w:szCs w:val="16"/>
          <w:color w:val="auto"/>
        </w:rPr>
        <w:t>Any or all of the issues above could adversely affect our ability to attract new partners and continue our relationship with existing partners, cause our partners to cancel their contracts with us or subject us to governmental or third-party lawsuits, investigations, regulatory fines or other actions or liability, thereby harming our business, financial condition, operating results, cash flows, and prospects. Any accidental or unauthorized access to or disclosure, loss, destruction, disablement or encryption of, use or misuse of or modification of data, cybersecurity breach or other security incident that we or our partners could experience or the perception that one has occurred or may occur, could harm our reputation, reduce the demand for our products and services and disrupt normal business operations.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and cause us to incur significant costs, any of which could materially adversely affect our business, financial condition, and results of operations. Moreover, there could be public announcements regarding any such incidents and any steps we take to respond to or remediate such incidents, and if securities analysts or investors perceive these announcements to be negative, it could have a substantial adverse effect on the price of our Class A common stock. These risks may increase as we continue to grow and collect, process, store, and transmit increasingly large amounts of data. Although we are not aware of any material information security breaches to date, we have detected common types of attempts to attack our information systems and data.</w:t>
      </w:r>
    </w:p>
    <w:p>
      <w:pPr>
        <w:spacing w:after="0" w:line="262" w:lineRule="exact"/>
        <w:rPr>
          <w:sz w:val="20"/>
          <w:szCs w:val="20"/>
          <w:color w:val="auto"/>
        </w:rPr>
      </w:pPr>
    </w:p>
    <w:p>
      <w:pPr>
        <w:ind w:left="120" w:right="240"/>
        <w:spacing w:after="0" w:line="294" w:lineRule="auto"/>
        <w:rPr>
          <w:sz w:val="20"/>
          <w:szCs w:val="20"/>
          <w:color w:val="auto"/>
        </w:rPr>
      </w:pPr>
      <w:r>
        <w:rPr>
          <w:rFonts w:ascii="Arial" w:cs="Arial" w:eastAsia="Arial" w:hAnsi="Arial"/>
          <w:sz w:val="16"/>
          <w:szCs w:val="16"/>
          <w:b w:val="1"/>
          <w:bCs w:val="1"/>
          <w:i w:val="1"/>
          <w:iCs w:val="1"/>
          <w:color w:val="auto"/>
        </w:rPr>
        <w:t>We collect, process, store, share, disclose, transfer, and use consumer information and other data, and an actual or perceived failure to protect such information and data or respect users’ privacy could damage our reputation and brand or negatively affect our ability to retain partners and harm our business, financial condition, operating results, cash flows, and prospects.</w:t>
      </w:r>
    </w:p>
    <w:p>
      <w:pPr>
        <w:spacing w:after="0" w:line="59"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The operation of our platform involves the collection, processing, storage and transmission of consumers’ information, including personal information, and security breaches could expose us to a risk of loss or exposure of this information, which could result in potential liability, investigations, regulatory fines, litigation, and remediation costs, as well as reputational harm, all of which could materially and adversely affect our business, financial condition, operating results, cash flows, and prospects. For example, unauthorized parties could steal consumer names, email addresses, physical addresses, phone numbers, and other information, which we collect when providing our services.</w:t>
      </w:r>
    </w:p>
    <w:p>
      <w:pPr>
        <w:spacing w:after="0" w:line="78"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consumers and partners to lose trust in us, all of which could be costly and have an adverse effect on our business, financial condition, operating results, cash flows, and prospects. Regulatory agencies or business partners may institute more stringent data protection requirements or certifications than those which we are currently subject to and, if we cannot comply with those standards in a timely manner, we may lose the ability to maintain our platform. Moreover, if third parties that we work with violate applicable laws or our policies, such violations also may put consumer or partner information at risk and could in turn harm our reputation, business, financial condition, operating results, cash flows, and prospects.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partners’ data, our security measures or those of our third-party service providers could fail and result in unauthorized access to or disclosure, modification, misuse, loss or destruction of such data.</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halt the operations of third-party websites that aggregate or misappropriate our data.</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From time to time, 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could, technological and legal measures may be insufficient to halt their operations. In some cases, particularly in the case of websites operating outside of the U.S.,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consumers or advertisers, our brand and business could be harmed.</w:t>
      </w:r>
    </w:p>
    <w:p>
      <w:pPr>
        <w:spacing w:after="0" w:line="86" w:lineRule="exact"/>
        <w:rPr>
          <w:sz w:val="20"/>
          <w:szCs w:val="20"/>
          <w:color w:val="auto"/>
        </w:rPr>
      </w:pPr>
    </w:p>
    <w:p>
      <w:pPr>
        <w:ind w:left="120" w:right="260"/>
        <w:spacing w:after="0" w:line="248" w:lineRule="auto"/>
        <w:rPr>
          <w:sz w:val="20"/>
          <w:szCs w:val="20"/>
          <w:color w:val="auto"/>
        </w:rPr>
      </w:pPr>
      <w:r>
        <w:rPr>
          <w:rFonts w:ascii="Arial" w:cs="Arial" w:eastAsia="Arial" w:hAnsi="Arial"/>
          <w:sz w:val="18"/>
          <w:szCs w:val="18"/>
          <w:b w:val="1"/>
          <w:bCs w:val="1"/>
          <w:i w:val="1"/>
          <w:iCs w:val="1"/>
          <w:color w:val="auto"/>
        </w:rPr>
        <w:t>Our proprietary predictive modeling tools and artificial intelligence algorithms may not operate properly or as we expect them to, which could detrimentally impact our buyers’ advertising campaigns. Moreover, our proprietary predictive modeling tools and artificial intelligence algorithms may lead to unintentional bias and discrimination.</w:t>
      </w:r>
    </w:p>
    <w:p>
      <w:pPr>
        <w:spacing w:after="0" w:line="9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use proprietary predictive modeling tools and artificial intelligence algorithms in our product offerings. The data that we gather from interactions with consumers is evaluated and curated by proprietary predictive modeling tools and artificial intelligence algorithms. The continuous development, maintenance, and operation of our back-end data analytics engine is expensive and complex, and may involve unforeseen difficulties, including material performance problems, undetected defects or errors. We may encounter technical obstacles, and it is possible that we may discover additional problems that prevent our proprietary predictive modeling tools and artificial intelligence algorithms from operating properly. If our data analytics do not function reliably, this could negatively impact either the bidding experience for buyers on our platform or our ability to filter bids as part of the bid screening process or accurately predict a consumer’s buying behavior. Any of these situations could result in buyers’ dissatisfaction with us, which could cause our buyers to stop using our platform or prevent prospective buyers from using our platform. Additionally, our proprietary predictive modeling tools and artificial intelligence algorithms may lead to unintentional bias and discrimination, which could subject us to legal or regulatory liability as well as reputational harm. Any of these eventualities could result in a material and adverse effect on our business, financial condition, operating results, cash flows, and prospects.</w:t>
      </w:r>
    </w:p>
    <w:p>
      <w:pPr>
        <w:spacing w:after="0" w:line="269"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affected.</w:t>
      </w:r>
    </w:p>
    <w:p>
      <w:pPr>
        <w:spacing w:after="0" w:line="9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Small text files (referred to as “cookies”) placed on internet browsers by certain websites are used to gather data regarding a user’s web browsing activity. For example, cookie data allows us to collect data about the websites and webpages that users may visit or to identify users on other websites who have previously visited our partners’ websites. This information helps us to recognize prior users and to gather accurate conversion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data from our partners. The availability of cookie data may be limited by numerous potential factors, including general trends among internet users to refuse to accept cookies on their web browsers, web browsers blocking third-party cookies by default or otherwise transitioning away from using cookies, other laws or regulations limiting the transferability or use of information gathered using cookies, or the refusal of providers of such information to provide it to us or to provide it to us on favorable terms. If we are not able to obtain this information on the terms we anticipate, our product offerings may be affected, which may cause a reduction in revenue or a reduction in revenue growth.</w:t>
      </w:r>
    </w:p>
    <w:p>
      <w:pPr>
        <w:spacing w:after="0" w:line="58" w:lineRule="exact"/>
        <w:rPr>
          <w:sz w:val="20"/>
          <w:szCs w:val="20"/>
          <w:color w:val="auto"/>
        </w:rPr>
      </w:pPr>
    </w:p>
    <w:p>
      <w:pPr>
        <w:ind w:left="120" w:right="120"/>
        <w:spacing w:after="0" w:line="262" w:lineRule="auto"/>
        <w:rPr>
          <w:sz w:val="20"/>
          <w:szCs w:val="20"/>
          <w:color w:val="auto"/>
        </w:rPr>
      </w:pPr>
      <w:r>
        <w:rPr>
          <w:rFonts w:ascii="Arial" w:cs="Arial" w:eastAsia="Arial" w:hAnsi="Arial"/>
          <w:sz w:val="18"/>
          <w:szCs w:val="18"/>
          <w:b w:val="1"/>
          <w:bCs w:val="1"/>
          <w:i w:val="1"/>
          <w:iCs w:val="1"/>
          <w:color w:val="auto"/>
        </w:rPr>
        <w:t>Our use of “open source” software could adversely affect our ability to protect our proprietary software and subject us to possible litigation.</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Some of our services and technologies incorporate software licensed under so-called “open source” licenses. In addition to risks related to general license requirements, usage of “open source” software can lead to greater risks than use of third-party commercial software, as “open source” licensors generally do not provide warranties or controls on origin of the software or other contractual protections regarding infringement claims or code quality, as it is generally freely accessible, usable, and modifiable, and is made available to the general public on an “as-is” basis under the terms of a non-negotiable license. Additionally, “open source” licenses frequently require that source code subject to the license be made available to the public, and often require that modifications or derivative works to “open source” software continue to be licensed under “open source” licenses. Certain “open source” licenses mandate that proprietary software, when combined in specific ways with “open source” software, become subject to the “open source” license.</w:t>
      </w:r>
    </w:p>
    <w:p>
      <w:pPr>
        <w:spacing w:after="0" w:line="10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From time to time, companies that incorporate open source software into their platforms have faced claims challenging the use of open source software and/or compliance with open source license terms. We could be subject to suits by parties claiming ownership of what we believe to be open source software, or claiming non-compliance with open source licensing terms. Some open source licenses require users who distribute software containing open source to make available source code for modifications or derivative works we create based upon the type of open source software we use, or grant other licenses to our intellectual property, which in some circumstances could include valuable proprietary code of the user. While we monitor our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The terms of many open source licenses have not been interpreted by U.S. or foreign courts, and there is a risk that these licenses could be construed in a way that could impose unanticipated conditions or restrictions on our ability to provide our platform. 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operation of our platform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would adversely affect our business, financial condition, operating results, cash flows, and prospects, and could help our competitors develop platforms that are similar to or better than ours.</w:t>
      </w:r>
    </w:p>
    <w:p>
      <w:pPr>
        <w:spacing w:after="0" w:line="268" w:lineRule="exact"/>
        <w:rPr>
          <w:sz w:val="20"/>
          <w:szCs w:val="20"/>
          <w:color w:val="auto"/>
        </w:rPr>
      </w:pPr>
    </w:p>
    <w:p>
      <w:pPr>
        <w:ind w:left="120" w:right="240"/>
        <w:spacing w:after="0" w:line="262"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8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If we apply to register trademarks in the U.S. and other countries, our applications may not be allowed for registration in a timely fashion or at all, and our registered trademarks may not be enforced. Furthermore,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steps that we have already taken to protect our intellectual property may not be sufficient or effective. Even if we do detect violations, we may need to engage in litigation to enforce our rights. In addition, 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operating results, cash flows, and prospects.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laws and regulation</w:t>
      </w:r>
    </w:p>
    <w:p>
      <w:pPr>
        <w:spacing w:after="0" w:line="114"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Changes in the regulation of the internet could adversely affect our business, financial condition, operating results, cash flows, and prospects.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In addition, changes in laws or regulations that adversely affect the growth, popularity or use of the internet, including with respect to net neutrality, could decrease the demand for our offerings and increase our cost of doing business. Future taxation on the use of the internet or e-commerce transactions could also be imposed. Existing or future regulation or taxation could hinder growth in or adversely affect the use of the internet generally, including the viability of internet e-commerce, which could adversely affect our business, financial condition, operating results, cash flows, and prospects.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a variety of laws and regulations, both in the U.S. and internationally, many of which are evolving.</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privacy, antitrust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mobile and related technologies and, as a result, do not contemplate or address the unique issues of the internet and mobile and related technologies. Other laws and regulations may be adopted in response to internet, mobile and related technologies. New and existing laws and regulations (or changes in interpretation of existing laws and regulations) may also be adopted, implemented, or interpreted to apply to us and other online platforms. As our platform’s scope expands, regulatory agencies or courts may claim that we, or our users, are subject to additional requirements or that we are prohibited from conducting our business in or with certain verticals or jurisdictions. It is also possible that certain provisions in agreements with our buyers, sellers, and service providers may be found to be unenforceable or not compliant with applicable law.</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Recent financial, political, and other events may increase the level of regulatory scrutiny on larger companies and technology companies in general. The effects of recently imposed and proposed governmental antitrust actions are uncertain because of the dynamic nature of such actions. Scrutiny and regulation of the technology industry may increase, which could require us to devote significant legal and other resources to addressing such scrutiny and regulation. The growth and development of the technology industry in general may prompt calls for greater enforcement of U.S. and/or state antitrust laws, which may impose additional burdens on companies such as ours. Regulatory agencies may also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We may become subject to taxation in additional jurisdictions in the future.</w:t>
      </w:r>
    </w:p>
    <w:p>
      <w:pPr>
        <w:spacing w:after="0" w:line="86" w:lineRule="exact"/>
        <w:rPr>
          <w:sz w:val="20"/>
          <w:szCs w:val="20"/>
          <w:color w:val="auto"/>
        </w:rPr>
      </w:pPr>
    </w:p>
    <w:p>
      <w:pPr>
        <w:ind w:left="120" w:right="180"/>
        <w:spacing w:after="0" w:line="248" w:lineRule="auto"/>
        <w:rPr>
          <w:sz w:val="20"/>
          <w:szCs w:val="20"/>
          <w:color w:val="auto"/>
        </w:rPr>
      </w:pPr>
      <w:r>
        <w:rPr>
          <w:rFonts w:ascii="Arial" w:cs="Arial" w:eastAsia="Arial" w:hAnsi="Arial"/>
          <w:sz w:val="18"/>
          <w:szCs w:val="18"/>
          <w:b w:val="1"/>
          <w:bCs w:val="1"/>
          <w:i w:val="1"/>
          <w:iCs w:val="1"/>
          <w:color w:val="auto"/>
        </w:rPr>
        <w:t>Laws and regulations regulating insurance activities are complex and could negatively affect the insurance carriers who use our platform, which could in turn have a material and adverse effect on our business, may reduce our profitability and potentially limit our growth.</w:t>
      </w:r>
    </w:p>
    <w:p>
      <w:pPr>
        <w:spacing w:after="0" w:line="9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insurance industry in the U.S. is heavily regulated. The insurance regulatory framework addresses, among other things: granting licenses to companies and agents to transact particular business activities; and regulating trade, marketing, compensation, and claims practices. The cost of compliance with such regulations or any non-compliance could impose material costs on them and negatively affect their business, marketing practices, and budgets, any of which could reduce their level of business with us and thus have a material and adverse effect on our business, financial condition, operating results, cash flows, and prospects.</w:t>
      </w:r>
    </w:p>
    <w:p>
      <w:pPr>
        <w:spacing w:after="0" w:line="10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Furthermore, the laws and regulations governing the sale of insurance may change in ways that adversely impact our insurance partners’ businesses. These changes could impact the manner in which they are permitted to conduct their businesses and could force them to reduce the compensation they receive, which could negatively affect their marketing practices, budgets, and overall level of business with us, which could adversely impact our business, financial condition, operating results, cash flows, and prospects.</w:t>
      </w:r>
    </w:p>
    <w:p>
      <w:pPr>
        <w:spacing w:after="0" w:line="80" w:lineRule="exact"/>
        <w:rPr>
          <w:sz w:val="20"/>
          <w:szCs w:val="20"/>
          <w:color w:val="auto"/>
        </w:rPr>
      </w:pPr>
    </w:p>
    <w:p>
      <w:pPr>
        <w:ind w:left="120" w:right="340"/>
        <w:spacing w:after="0" w:line="262" w:lineRule="auto"/>
        <w:rPr>
          <w:sz w:val="20"/>
          <w:szCs w:val="20"/>
          <w:color w:val="auto"/>
        </w:rPr>
      </w:pPr>
      <w:r>
        <w:rPr>
          <w:rFonts w:ascii="Arial" w:cs="Arial" w:eastAsia="Arial" w:hAnsi="Arial"/>
          <w:sz w:val="18"/>
          <w:szCs w:val="18"/>
          <w:b w:val="1"/>
          <w:bCs w:val="1"/>
          <w:i w:val="1"/>
          <w:iCs w:val="1"/>
          <w:color w:val="auto"/>
        </w:rPr>
        <w:t>Changes and developments in the regulation of the healthcare industry could adversely affect our business, financial condition, operating results, cash flows, and prospects.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U.S. healthcare industry is subject to an evolving regulatory regime at both the federal and state levels. In recent years, there have been multiple reform efforts made within the healthcare industry in an effort to curtail healthcare costs. For example, the Patient Protection and Affordable Care Act of 2010 (the “PPACA”) and related regulatory reforms have materially changed the regulation of health insurance. While it is difficult to determine the impact of potential reforms on our future business, it is possible that such changes in industry regulation could result in reduced demand for our platform. Our insurance partners may react to existing or future reforms, or general regulatory uncertainty, by reducing their reliance on our platform. Developments of this type could materially and adversely affect our business, financial condition, operating results, cash flows, and prospects.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Healthcare laws and regulations are rapidly evolving and may change significantly in the future, impacting the coverage and plan designs that are or will be provided by certain insurance carriers. Health reform efforts and measures may expand the role of government-sponsored coverage, including single payer or “Medicare-for-All” proposals, which could have far-reaching implications for the insurance industry if enacted. We are unable to predict the full impact of healthcare reform initiatives on our operations in light of the uncertainty regarding the terms and timing of any provisions enacted and the impact of any of those provisions on various healthcare and insurance industry participants. In particular, because our platform helps connect consumers to websites and other distribution channels where they can shop for insurance policies from a panel of insurance carriers,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the expansion of government-sponsored coverage through “Medicare-for-All” or the implantation of a single payer system may adversely impact our business, financial condition, operating results, cash flows, and prospects.</w:t>
      </w:r>
    </w:p>
    <w:p>
      <w:pPr>
        <w:spacing w:after="0" w:line="81" w:lineRule="exact"/>
        <w:rPr>
          <w:sz w:val="20"/>
          <w:szCs w:val="20"/>
          <w:color w:val="auto"/>
        </w:rPr>
      </w:pPr>
    </w:p>
    <w:p>
      <w:pPr>
        <w:ind w:left="120" w:right="340"/>
        <w:spacing w:after="0" w:line="262" w:lineRule="auto"/>
        <w:rPr>
          <w:sz w:val="20"/>
          <w:szCs w:val="20"/>
          <w:color w:val="auto"/>
        </w:rPr>
      </w:pPr>
      <w:r>
        <w:rPr>
          <w:rFonts w:ascii="Arial" w:cs="Arial" w:eastAsia="Arial" w:hAnsi="Arial"/>
          <w:sz w:val="18"/>
          <w:szCs w:val="18"/>
          <w:b w:val="1"/>
          <w:bCs w:val="1"/>
          <w:i w:val="1"/>
          <w:iCs w:val="1"/>
          <w:color w:val="auto"/>
        </w:rPr>
        <w:t>Changes in laws or regulations relating to privacy, data protection or the protection or transfer of personal data could materially and adversely affect our business, financial condition, operating results, cash flows, and prospects.</w:t>
      </w:r>
    </w:p>
    <w:p>
      <w:pPr>
        <w:spacing w:after="0" w:line="8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are subject to a variety of federal, state, local, and international laws, directives, and regulations, as well as contractual obligations, relating to privacy and the collection, protection, use, retention, security, disclosure, transfer, and other processing of personal information and other data, including the California Online Privacy Protection Act, the Personal Information Protection and Electronic Documents Act, the Controlling the Assault of Non-Solicited Pornography and Marketing Act (the “CAN-SPAM Act”), Canada’s Anti-Spam Law (“CASL”), the Telephone Consumer Protection Act of 1991 (the “TCPA”), the U.S. Federal Health Insurance Portability and Accountability Act of 1996 (“HIPAA”), Section 5(c) of the Federal Trade Commission Act, the EU’s General Data Protection Regulation (“GDPR”), supplemented by national laws (such as, in the United Kingdom, the Data Protection Act 2018) and further implemented through binding guidance from the European Data Protection Board, and the California Consumer Privacy Act (the “CCPA”). These laws, rules and regulations evolve frequently and their scope may continually change, through new legislation, amendments to existing legislation and changes in enforcement, and may be inconsistent from one jurisdiction to another. As a result, implementation standards and enforcement practices are likely to remain uncertain for the foreseeable future.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0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the U.S., these include enforcement actions in response to rules and regulations promulgated under the authority of federal agencies and state attorneys general and legislatures and consumer protection agencies. A number of federal and state laws and regulations relating to privacy affect and apply to the insurance industry specifically, including those imposed by the New York Department of Financial Services.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Internationally, virtually every jurisdiction in which we operate has established its own data security and privacy legal framework with which we or our customers must comply, including, but not limited to the EU. The EU’s data protection landscape is currently unstable, resulting in potentially significant operational costs for internal compliance and risk to our business. The EU has adopted the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U.S. While we have taken steps to mitigate the impact on us with respect to transfers of data, such as implementing standard contractual clauses, the efficacy and longevity of these transfer mechanisms remains uncertain. The Court of Justice of the European Union (the “CJEU”) issued a decision on July 16, 2020,</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invalidating the EU-US Privacy Shield Framework and calling the validity of standard contractual clauses into question under certain circumstances, which has made the legality of transferring personal data from the EU to the U.S. or various other jurisdictions outside of the EU more uncertain. While the European Data Protection Board recently issued certain draft guidance relating to ongoing use of the standard contractual clauses, including certain proposed amendments to the standard contractual clauses, the CJEU’s decision has increased uncertainty surrounding data transfers from the EU to third countries that may not offer the same level of protection for data subjects’ rights as the EU.</w:t>
      </w:r>
    </w:p>
    <w:p>
      <w:pPr>
        <w:spacing w:after="0" w:line="102"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The enactment of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00"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In addition to the GDPR, Directive 2002/58/EC (as amended by Directive 2009/136/EC) (together, the “e-Privacy Directive”) governs, among other things, the use of cookies and the sending of electronic direct marketing within the EU and, as such, will apply to our platform and products and our relationships with our partners. The ePrivacy Directive is expected to be replaced by an EU regulation known as the Regulation on Privacy and Electronic Communications (the “ePrivacy Regulation”), which is still under development and will replace current national laws that implement the ePrivacy Directive.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partners.</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10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While the CCPA has already been amended multiple times, it is unclear how this legislation will be further modified or how it will be interpreted. The effects of this legislation potentially are far-reaching, however, and may require us to modify our data processing practices and policies and incur substantial compliance-related costs and expenses. Additionally, a new privacy law, the California Privacy Rights Act (the “CPRA”), was approved by California voters in the election of November 3, 2020. The CPRA, which will take effect in most material respects on January 1, 2023, modifies the CCPA significantly, including by expanding consumers’ rights with respect to certain sensitive personal information and creating a new state agency to oversee implementation and enforcement efforts, potentially resulting in further uncertainty and requiring us to incur additional costs and expenses in an effort to comply. The CCPA, CPRA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greatly increase the cost of providing our offerings, require significant changes to our operations or even prevent us from providing certain offerings in jurisdictions in which we currently operate and in which we may operate in the future.</w:t>
      </w:r>
    </w:p>
    <w:p>
      <w:pPr>
        <w:spacing w:after="0" w:line="106"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Further, as we continue to expand our platform offerings and user base, we may become subject to additional privacy-related laws and regulations. For example, the collection and storage of healthcare data by health insurance carriers subject them to compliance requirements under HIPAA. HIPAA and its implementing regulations contain substantial restrictions and requirements regarding the use, collection, security, storage, and disclosure of individuals’ protected health information. In 2009, HIPAA was amended by the HITECH Act to impose certain of HIPAA’s privacy and security requirements directly upon business associates of covered entities. Health insurance carriers are covered entities under HIPAA. In the instance we are deemed to be a business associate of such carriers, we may be bound by compliance obligations under HIPAA, including security breach notification obligations, and subject to increased liability as a possible liable party. In such instance, if we knowingly breach the HITECH Act’s requirements, we could be exposed to criminal liability. A breach of our safeguards and processes could expose us to civil penalties up to $1.5 million for identical incidences and the possibility of civil litigation.</w:t>
      </w:r>
    </w:p>
    <w:p>
      <w:pPr>
        <w:spacing w:after="0" w:line="81"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Additionally, we have incurred, and may continue to incur, significant expenses in an effort to comply with privacy, data protection and information security standards and protocols imposed by law, regulation, industry standards or contractual obligations. Despite our efforts to comply with applicable laws, regulations and other obligations relating to privacy, data protection, and information security, it is possible that our practices, offerings or platform could be inconsistent with, or fail or be alleged to fail to meet all requirements of, such laws, regulations or obligations. Our failure, or the failure by our third-party providers or partners, to comply with applicable laws or regulations or any other obligations relating to privacy, data protection or information security, or any compromise of security that results in unauthorized access to, or use or release of personally identifiable information or other data, or the perception that any of the foregoing types of failure or compromise has occurred, could damage our reputation, discourage new and existing partners from using our platform, delay planned uses, and disclosures of data or result in fines or proceedings by governmental agencies and private claims and litigation, any of which could materially and adversely affect our business, financial condition, operating results, cash flows, and prospects. Even if not subject to legal challenge, the perception of privacy concerns, whether or not valid, may harm our reputation and brand and materially and adversely affect our business, financial condition, operating results, cash flows, and prospects.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legal liability for the information we communicate to consumers could harm our business and operating results.</w:t>
      </w:r>
    </w:p>
    <w:p>
      <w:pPr>
        <w:spacing w:after="0" w:line="124"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Consumers may rely upon information we communicate regarding insurance plans, including information relating to insurance premiums, coverage, benefits, exclusions, limitations, availability, and plan comparisons.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If we provide inaccurate information or information that could be construed as misleading, we could be found liable for related damages and our relationships with our insurance partners could suffer.</w:t>
      </w:r>
    </w:p>
    <w:p>
      <w:pPr>
        <w:spacing w:after="0" w:line="81" w:lineRule="exact"/>
        <w:rPr>
          <w:sz w:val="20"/>
          <w:szCs w:val="20"/>
          <w:color w:val="auto"/>
        </w:rPr>
      </w:pPr>
    </w:p>
    <w:p>
      <w:pPr>
        <w:ind w:left="120" w:right="260"/>
        <w:spacing w:after="0" w:line="262" w:lineRule="auto"/>
        <w:rPr>
          <w:sz w:val="20"/>
          <w:szCs w:val="20"/>
          <w:color w:val="auto"/>
        </w:rPr>
      </w:pPr>
      <w:r>
        <w:rPr>
          <w:rFonts w:ascii="Arial" w:cs="Arial" w:eastAsia="Arial" w:hAnsi="Arial"/>
          <w:sz w:val="18"/>
          <w:szCs w:val="18"/>
          <w:b w:val="1"/>
          <w:bCs w:val="1"/>
          <w:i w:val="1"/>
          <w:iCs w:val="1"/>
          <w:color w:val="auto"/>
        </w:rPr>
        <w:t>Our and our partners’ communications with potential and existing consumers are subject to laws regulating telephone and email marketing practices.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and our partners make telephone calls and send emails and text messages to potential and existing consumers. The U.S. regulates marketing by telephone and email and the laws and regulations governing the use of emails and telephone calls for marketing purposes continue to evolve, and changes in technology, the industry or consumer preferences may lead to the adoption of additional laws or regulations or changes in interpretation of existing laws or regulations. New laws or regulations, or changes to the manner in which existing laws and regulations are interpreted or enforced, may further restrict our and our partners’ ability to contact potential and existing consumers by phone and email and could render us and them unable to communicate with consumers in a cost-effective fashion.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and our partners may be required to comply with these and similar laws, rules and regulations. Failure to comply with obligations and restrictions related to telephone, text message, and email marketing could subject us and them to lawsuits, fines, statutory damages, consent decrees, injunctions, adverse publicity, and other losses that could harm, directly or indirectly, our business, financial condition, operating results, cash flows, and prospects.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being a public company</w:t>
      </w:r>
    </w:p>
    <w:p>
      <w:pPr>
        <w:spacing w:after="0" w:line="114" w:lineRule="exact"/>
        <w:rPr>
          <w:sz w:val="20"/>
          <w:szCs w:val="20"/>
          <w:color w:val="auto"/>
        </w:rPr>
      </w:pPr>
    </w:p>
    <w:p>
      <w:pPr>
        <w:ind w:left="120" w:right="280"/>
        <w:spacing w:after="0" w:line="262" w:lineRule="auto"/>
        <w:rPr>
          <w:sz w:val="20"/>
          <w:szCs w:val="20"/>
          <w:color w:val="auto"/>
        </w:rPr>
      </w:pPr>
      <w:r>
        <w:rPr>
          <w:rFonts w:ascii="Arial" w:cs="Arial" w:eastAsia="Arial" w:hAnsi="Arial"/>
          <w:sz w:val="18"/>
          <w:szCs w:val="18"/>
          <w:b w:val="1"/>
          <w:bCs w:val="1"/>
          <w:i w:val="1"/>
          <w:iCs w:val="1"/>
          <w:color w:val="auto"/>
        </w:rPr>
        <w:t>Our quarterly operating results or other operating metrics may fluctuate significantly and may not meet expectations of research analysts, which could cause the trading price of our Class A common stock to decline.</w:t>
      </w:r>
    </w:p>
    <w:p>
      <w:pPr>
        <w:spacing w:after="0" w:line="8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Our quarterly operating results and other operating metrics have fluctuated in the past and may in the future fluctuate as a result of a number of factors, many of which are outside of our control and may be difficult to predict. Period to period variability or unpredictability of our results could result in our failure to meet our expectations or those of any analysts that cover us or investors with respect to revenue or other operating results for a particular period. If we fail to meet or exceed such expectations for these or any other reasons, the market price of our Class A common stock could fall substantially, and we could face litigation, including securities class actions.</w:t>
      </w:r>
    </w:p>
    <w:p>
      <w:pPr>
        <w:spacing w:after="0" w:line="103"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In addition, if one or more analysts covering our business downgrade their evaluations of our Class A common stock or the stock of other companies in our industry, the price of our Class A common stock could decline. If one or more analysts cease to cover our Class A common stock, we could lose visibility in the market for our Class A common stock, which in turn could cause our stock price to decline.</w:t>
      </w:r>
    </w:p>
    <w:p>
      <w:pPr>
        <w:spacing w:after="0" w:line="51" w:lineRule="exact"/>
        <w:rPr>
          <w:sz w:val="20"/>
          <w:szCs w:val="20"/>
          <w:color w:val="auto"/>
        </w:rPr>
      </w:pPr>
    </w:p>
    <w:p>
      <w:pPr>
        <w:ind w:left="120" w:right="840"/>
        <w:spacing w:after="0" w:line="260" w:lineRule="auto"/>
        <w:rPr>
          <w:sz w:val="20"/>
          <w:szCs w:val="20"/>
          <w:color w:val="auto"/>
        </w:rPr>
      </w:pPr>
      <w:r>
        <w:rPr>
          <w:rFonts w:ascii="Arial" w:cs="Arial" w:eastAsia="Arial" w:hAnsi="Arial"/>
          <w:sz w:val="18"/>
          <w:szCs w:val="18"/>
          <w:i w:val="1"/>
          <w:iCs w:val="1"/>
          <w:color w:val="auto"/>
        </w:rPr>
        <w:t>We are required to make significant estimates and assumptions in the preparation of our financial statements. These estimates and assumptions may not be accurate and are subject to change.</w:t>
      </w:r>
    </w:p>
    <w:p>
      <w:pPr>
        <w:spacing w:after="0" w:line="8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preparation of our consolidated financial statements in conformity with GAAP requires our management to make significant estimates and assumptions that affect the reported amounts of assets and liabilities and disclosures of contingent assets and liabilities at the date of our consolidated financial statements, and the reported amounts of income and expense during the reporting periods. If our underlying estimates and assumptions prove to be incorrect or if events occur that require us to revise our previous estimates or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assumptions, our business, financial condition, operating results, cash flows, and prospects may be materially and adversely affected.</w:t>
      </w:r>
    </w:p>
    <w:p>
      <w:pPr>
        <w:spacing w:after="0" w:line="84" w:lineRule="exact"/>
        <w:rPr>
          <w:sz w:val="20"/>
          <w:szCs w:val="20"/>
          <w:color w:val="auto"/>
        </w:rPr>
      </w:pPr>
    </w:p>
    <w:p>
      <w:pPr>
        <w:ind w:left="120" w:right="580"/>
        <w:spacing w:after="0" w:line="262" w:lineRule="auto"/>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 which will increase our costs of operations and may divert focus from our business operations.</w:t>
      </w:r>
    </w:p>
    <w:p>
      <w:pPr>
        <w:spacing w:after="0" w:line="81" w:lineRule="exact"/>
        <w:rPr>
          <w:sz w:val="20"/>
          <w:szCs w:val="20"/>
          <w:color w:val="auto"/>
        </w:rPr>
      </w:pPr>
    </w:p>
    <w:p>
      <w:pPr>
        <w:ind w:left="120" w:right="340"/>
        <w:spacing w:after="0" w:line="236" w:lineRule="auto"/>
        <w:rPr>
          <w:sz w:val="20"/>
          <w:szCs w:val="20"/>
          <w:color w:val="auto"/>
        </w:rPr>
      </w:pPr>
      <w:r>
        <w:rPr>
          <w:rFonts w:ascii="Arial" w:cs="Arial" w:eastAsia="Arial" w:hAnsi="Arial"/>
          <w:sz w:val="18"/>
          <w:szCs w:val="18"/>
          <w:color w:val="auto"/>
        </w:rPr>
        <w:t>Prior to the IPO, we were not required to comply with the requirements of the SEC or to file periodic reports with the SEC. Following the completion of the IPO, we are now required to file periodic reports containing our consolidated financial statements with the SEC within a specified time following the completion of quarterly and annual periods. As a public company, we incur significant legal, accounting, insurance, and other expenses. Continued compliance with these reporting requirements and other rules of the SEC and the rules of the NYSE will increase our legal and financial compliance costs and make some activities more time consuming and costly. Furthermore, the need to maintain the corporate infrastructure demanded of a public company may divert management’s attention from implementing our growth strategy, which could prevent us from successfully implementing our strategic initiatives and improving our business, financial condition, operating results, cash flows, and prospects.</w:t>
      </w:r>
    </w:p>
    <w:p>
      <w:pPr>
        <w:spacing w:after="0" w:line="80"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related to the accounting for equity-based compensation arrangements. If we are unable to remediate the material weakness related to the accounting for equity-based compensation arrangements,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01"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In connection with the preparation of our consolidated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69"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material weakness we identified relates to the accounting for equity-based compensation arrangements. Specifically, we did not design and maintain effective controls to ensure that the applicable guidance and accounting policies were appropriately applied to equity-based compensation arrangements and were properly reflected in our consolidated financial statements. The material weakness resulted in misstatements to Members’ Equity and Equity-based compensation which resulted in the restatement of our audited consolidated financial statements. Additionally, this control deficiency could result in a misstatement to the aforementioned accounts and disclosures that would result in a material misstatement of our consolidated financial statements that would not be prevented or detected, and accordingly, we determined this control deficiency constitutes a material weakness.</w:t>
      </w:r>
    </w:p>
    <w:p>
      <w:pPr>
        <w:spacing w:after="0" w:line="101"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We are in the process of implementing measures designed to improve our internal control over financial reporting and remediate the control deficiency that led to the material weakness that remains unremediated related to the accounting for equity-based compensation arrangements. This includes designing and implementing new control activities related to the accounting for equity-based compensation arrangements, as well as engaging a third-party valuation specialist to supplement our finance and accounting personnel. We cannot assure you that the measures we have taken to date, and actions we may take in the future, will be sufficient to remediate the control deficiency that led to the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evaluation of our internal control over financial reporting in accordance with the provisions of the Sarbanes-Oxley Act, additional material weaknesses may have been identified. If we are unable to successfully remediate our existing material weakness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share price may decline as a result. As a public company, we will be required to provide an annual management report on the effectiveness of our internal control over financial reporting commencing with our second annual report on Form 10-K.</w:t>
      </w:r>
    </w:p>
    <w:p>
      <w:pPr>
        <w:spacing w:after="0" w:line="8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In addition, because the material weakness discussed above had not been fully remediated as of December 31, 2020, our management was unable to conclude that our disclosure controls and procedures were effective as of December 31, 2020. See “Management’s discussion and analysis of financial condition and results of operations—Internal control over financial reporting and evaluation of disclosure controls and procedures.”</w:t>
      </w:r>
    </w:p>
    <w:p>
      <w:pPr>
        <w:spacing w:after="0" w:line="80"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b w:val="1"/>
          <w:bCs w:val="1"/>
          <w:i w:val="1"/>
          <w:iCs w:val="1"/>
          <w:color w:val="auto"/>
        </w:rPr>
        <w:t>If we cannot comply with the requirements of the Sarbanes-Oxley Act in a timely manner or attest that our internal control over financial reporting is effective or otherwise fail to maintain effective internal control over financial reporting, we may not be able to report our financial results accurately and timely, in which case our business may be harmed, investors may lose confidence in the accuracy and completeness of our financial reports and the price of our Class A common stock may decline.</w:t>
      </w:r>
    </w:p>
    <w:p>
      <w:pPr>
        <w:spacing w:after="0" w:line="96"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our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are required to comply with the Sarbanes-Oxley Act and other rules that govern public companies. In particular, we will be required to certify our compliance with Section 404 of the Sarbanes-Oxley Act beginning with our second annual report on Form 10-K, which will require us to furnish annually a report by management on the effectiveness of our internal control over financial reporting. Moreover, beginning with our second annual report on Form 10-K, our independent registered public accounting firm will be required to attest to the effectiveness of our internal control over financial reporting on an annual basis unless we are a non-accelerated filer. However, while we remain an emerging growth company and elect transitional relief available to emerging growth companies, our independent registered public accounting firm will not be required to report on the effectiveness of our internal control over financial reporting. In addition, in connection with the preparation of our consolidated financial statements as of and for the years ended December 31, 2018 and 2019, we identified material weaknesses in our internal control over financial reporting. See “Risk factors—We have identified a material weakness in our internal control over financial reporting related to the accounting for equity-based compensation arrangements. If we are unable to remediate the material weakness related to the accounting for equity-based compensation arrangements,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289"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If we continue to have material weaknesses or identify material weaknesses in our internal control over financial reporting in the future, if we cannot comply with the requirements of the Sarbanes-Oxley Act in a timely manner or attest that our internal control over financial reporting is effective, or if our independent registered public accounting firm cannot express an unqualified opinion as to the effectiveness of our internal control over financial reporting when required, we may not be able to accurately and timely report our financial results. As a result, investors, counterparties, and consumers may lose confidence in the accuracy and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completeness of our financial reports; our liquidity, access to capital markets and perceptions of our creditworthiness could be adversely affected; and the market price of our Class A common stock could decline. In addition, we could become subject to investigations by the NYSE, the SEC or other regulatory authorities, which could require additional financial and management resources. These events could have a material and adverse effect on our business, financial condition, operating results, cash flows, and prospects.</w:t>
      </w:r>
    </w:p>
    <w:p>
      <w:pPr>
        <w:spacing w:after="0" w:line="80" w:lineRule="exact"/>
        <w:rPr>
          <w:sz w:val="20"/>
          <w:szCs w:val="20"/>
          <w:color w:val="auto"/>
        </w:rPr>
      </w:pPr>
    </w:p>
    <w:p>
      <w:pPr>
        <w:ind w:left="120" w:right="22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81"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We are an “emerging growth company,” as defined in the JOBS Act. We could continue to be considered an emerging growth company for up to five years, although we would lose that status sooner if our gross revenue exceeds $1.07 billion, if we issue more than $1.0 billion in nonconvertible debt in a three-year period, or if the fair value of our common stock held by non-affiliates exceeds $700.0 million (and we have been a public company for at least 12 months and have filed one annual report on Form 10-K).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78"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while we are an emerging growth company we will not be subject to new or revised accounting standards (for example,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 at the same time that they become applicable to other public companies that are not emerging growth companies. As a result, our financial statements may not be comparable to companies that comply with new or revised accounting pronouncements as of public company effective dates, and we will incur additional costs in connection with complying with the accounting standards applicable to public companies at such time or times as they become applicable to us.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Class A common stock and this offering</w:t>
      </w:r>
    </w:p>
    <w:p>
      <w:pPr>
        <w:spacing w:after="0" w:line="114"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The market price of our Class A common stock may be subject to substantial fluctuations, which may make it difficult for you to sell your shares at the volume, price and times desired.</w:t>
      </w:r>
    </w:p>
    <w:p>
      <w:pPr>
        <w:spacing w:after="0" w:line="81"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The market price of our Class A common stock may be highly volatile, which may make it difficult for you to sell your shares at the volume, prices and times desired. Shares of technology companies have historically experienced levels of volatility that can exceed the overall market. Since shares of our Class A common stock were initially sold in the IPO in October 2020 at a price of $19 per share, the high and low closing</w:t>
      </w:r>
    </w:p>
    <w:p>
      <w:pPr>
        <w:ind w:left="120" w:right="240"/>
        <w:spacing w:after="0" w:line="239" w:lineRule="auto"/>
        <w:rPr>
          <w:sz w:val="20"/>
          <w:szCs w:val="20"/>
          <w:color w:val="auto"/>
        </w:rPr>
      </w:pPr>
      <w:r>
        <w:rPr>
          <w:rFonts w:ascii="Arial" w:cs="Arial" w:eastAsia="Arial" w:hAnsi="Arial"/>
          <w:sz w:val="18"/>
          <w:szCs w:val="18"/>
          <w:color w:val="auto"/>
        </w:rPr>
        <w:t>sales prices of our Class A common stock have ranged from to per share, respectively, through March , 2021. Some specific factors that may have a significant effect on the market price of our Class A common stock include:</w:t>
      </w:r>
    </w:p>
    <w:p>
      <w:pPr>
        <w:spacing w:after="0" w:line="114"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those of our competitors;</w:t>
      </w:r>
    </w:p>
    <w:p>
      <w:pPr>
        <w:spacing w:after="0" w:line="117"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the growth rate of the online insurance/digital advertising market or the growth rate of our businesses or those of companies that investors deem comparable to us;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economic or business conditions;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governmental regulation; and</w:t>
      </w:r>
    </w:p>
    <w:p>
      <w:pPr>
        <w:spacing w:after="0" w:line="117" w:lineRule="exact"/>
        <w:rPr>
          <w:rFonts w:ascii="Arial" w:cs="Arial" w:eastAsia="Arial" w:hAnsi="Arial"/>
          <w:sz w:val="18"/>
          <w:szCs w:val="18"/>
          <w:color w:val="auto"/>
        </w:rPr>
      </w:pPr>
    </w:p>
    <w:p>
      <w:pPr>
        <w:ind w:left="340" w:right="320" w:hanging="224"/>
        <w:spacing w:after="0" w:line="23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80" w:lineRule="exact"/>
        <w:rPr>
          <w:sz w:val="20"/>
          <w:szCs w:val="20"/>
          <w:color w:val="auto"/>
        </w:rPr>
      </w:pPr>
    </w:p>
    <w:p>
      <w:pPr>
        <w:ind w:left="120" w:right="440"/>
        <w:spacing w:after="0" w:line="262"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would dilute all other stockholders.</w:t>
      </w:r>
    </w:p>
    <w:p>
      <w:pPr>
        <w:spacing w:after="0" w:line="81"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We may issue additional capital stock in the future. Any such issuance would result in dilution to all other stockholders. In the future, we may issue additional stock, including as a grant of equity awards to employees, directors and consultants under our equity incentive plans, to raise capital through equity financings or to acquire or make investments in companies, products or technologies for which we may issue equity securities to pay for such acquisition or investment. Any such issuances of additional capital stock may cause stockholders to experience significant dilution of their ownership interests and the per share value of our Class A common stock to decline.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declaration and amount of any future dividends to holders of our Class A common stock is at the discretion of our Board of Directors in accordance with applicable law and after taking into account various factors, including our financial condition, operating results, current and anticipated cash needs, cash flows, impact on our effective tax rate, indebtedness, contractual obligations, legal requirements, and other factors that our Board of Directors deems relevant. In addition, the 2020 Credit Agreement contains restrictions on our ability to pay dividends, subject to certain exceptions. Accordingly, we do not expect to pay dividends in the foreseeable future. As a result, capital appreciation, if any, of our Class A common stock will be your sole source of gain for the foreseeable future.</w:t>
      </w:r>
    </w:p>
    <w:p>
      <w:pPr>
        <w:spacing w:after="0" w:line="82" w:lineRule="exact"/>
        <w:rPr>
          <w:sz w:val="20"/>
          <w:szCs w:val="20"/>
          <w:color w:val="auto"/>
        </w:rPr>
      </w:pPr>
    </w:p>
    <w:p>
      <w:pPr>
        <w:ind w:left="120" w:right="200"/>
        <w:spacing w:after="0" w:line="262" w:lineRule="auto"/>
        <w:rPr>
          <w:sz w:val="20"/>
          <w:szCs w:val="20"/>
          <w:color w:val="auto"/>
        </w:rPr>
      </w:pPr>
      <w:r>
        <w:rPr>
          <w:rFonts w:ascii="Arial" w:cs="Arial" w:eastAsia="Arial" w:hAnsi="Arial"/>
          <w:sz w:val="18"/>
          <w:szCs w:val="18"/>
          <w:b w:val="1"/>
          <w:bCs w:val="1"/>
          <w:i w:val="1"/>
          <w:iCs w:val="1"/>
          <w:color w:val="auto"/>
        </w:rPr>
        <w:t>The market price of our Class A common stock could decline due to the large number of shares of Class A common stock eligible for future sale upon the exchange of Class B-1 units of QL Holdings LLC.</w:t>
      </w:r>
    </w:p>
    <w:p>
      <w:pPr>
        <w:spacing w:after="0" w:line="81"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eligible for sale and for future sale upon the exchange of Class B-1 units of QL Holdings LLC (together with an equal number of shares of our Class B common stock), or the perception that such sales could occur. These sales, or the possibility that these sales may occur, may also make it more difficult for us to raise additional capital by selling equity securities in the future, at a time and price that we deem appropriate.</w:t>
      </w:r>
    </w:p>
    <w:p>
      <w:pPr>
        <w:spacing w:after="0" w:line="70" w:lineRule="exact"/>
        <w:rPr>
          <w:sz w:val="20"/>
          <w:szCs w:val="20"/>
          <w:color w:val="auto"/>
        </w:rPr>
      </w:pPr>
    </w:p>
    <w:p>
      <w:pPr>
        <w:ind w:left="120"/>
        <w:spacing w:after="0"/>
        <w:tabs>
          <w:tab w:leader="none" w:pos="1620" w:val="left"/>
          <w:tab w:leader="none" w:pos="5360" w:val="left"/>
          <w:tab w:leader="none" w:pos="9100" w:val="left"/>
        </w:tabs>
        <w:rPr>
          <w:sz w:val="20"/>
          <w:szCs w:val="20"/>
          <w:color w:val="auto"/>
        </w:rPr>
      </w:pPr>
      <w:r>
        <w:rPr>
          <w:rFonts w:ascii="Arial" w:cs="Arial" w:eastAsia="Arial" w:hAnsi="Arial"/>
          <w:sz w:val="18"/>
          <w:szCs w:val="18"/>
          <w:color w:val="auto"/>
        </w:rPr>
        <w:t>As of March</w:t>
      </w:r>
      <w:r>
        <w:rPr>
          <w:sz w:val="20"/>
          <w:szCs w:val="20"/>
          <w:color w:val="auto"/>
        </w:rPr>
        <w:tab/>
      </w:r>
      <w:r>
        <w:rPr>
          <w:rFonts w:ascii="Arial" w:cs="Arial" w:eastAsia="Arial" w:hAnsi="Arial"/>
          <w:sz w:val="18"/>
          <w:szCs w:val="18"/>
          <w:color w:val="auto"/>
        </w:rPr>
        <w:t>, 2021, after giving effect to this offering,</w:t>
      </w:r>
      <w:r>
        <w:rPr>
          <w:sz w:val="20"/>
          <w:szCs w:val="20"/>
          <w:color w:val="auto"/>
        </w:rPr>
        <w:tab/>
      </w:r>
      <w:r>
        <w:rPr>
          <w:rFonts w:ascii="Arial" w:cs="Arial" w:eastAsia="Arial" w:hAnsi="Arial"/>
          <w:sz w:val="18"/>
          <w:szCs w:val="18"/>
          <w:color w:val="auto"/>
        </w:rPr>
        <w:t>Class A-1 units of QL Holdings LLC and</w:t>
      </w:r>
      <w:r>
        <w:rPr>
          <w:sz w:val="20"/>
          <w:szCs w:val="20"/>
          <w:color w:val="auto"/>
        </w:rPr>
        <w:tab/>
      </w:r>
      <w:r>
        <w:rPr>
          <w:rFonts w:ascii="Arial" w:cs="Arial" w:eastAsia="Arial" w:hAnsi="Arial"/>
          <w:sz w:val="16"/>
          <w:szCs w:val="16"/>
          <w:color w:val="auto"/>
        </w:rPr>
        <w:t>Class B-1 units of</w:t>
      </w:r>
    </w:p>
    <w:p>
      <w:pPr>
        <w:ind w:left="120" w:right="40"/>
        <w:spacing w:after="0" w:line="236" w:lineRule="auto"/>
        <w:rPr>
          <w:sz w:val="20"/>
          <w:szCs w:val="20"/>
          <w:color w:val="auto"/>
        </w:rPr>
      </w:pPr>
      <w:r>
        <w:rPr>
          <w:rFonts w:ascii="Arial" w:cs="Arial" w:eastAsia="Arial" w:hAnsi="Arial"/>
          <w:sz w:val="18"/>
          <w:szCs w:val="18"/>
          <w:color w:val="auto"/>
        </w:rPr>
        <w:t>QL Holdings LLC would have been outstanding. Each Class B-1 unit, together with one share of our Class B common stock, is exchangeable for one share of Class A common stock (or, at our election, cash of an equivalent value), as described under “Organizational structure— Fourth amended and restated limited liability company agreement of QL Holdings LLC.” Pursuant to a registration rights agreement, we have granted registration rights to certain of our existing investors, including White Mountains, Insignia, and the Senior Executives, with respect to their shares of our Class A common stock, including those delivered in exchange for Class B-1 units of QL Holdings LLC. See “Organizational structure—Registration rights agreement.”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520"/>
        <w:spacing w:after="0" w:line="262"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pre-initial public offering stockholders (“pre-IPO stockholders”) in the public market could cause the price of our Class A common stock to fall.</w:t>
      </w:r>
    </w:p>
    <w:p>
      <w:pPr>
        <w:spacing w:after="0" w:line="81" w:lineRule="exact"/>
        <w:rPr>
          <w:sz w:val="20"/>
          <w:szCs w:val="20"/>
          <w:color w:val="auto"/>
        </w:rPr>
      </w:pPr>
    </w:p>
    <w:p>
      <w:pPr>
        <w:ind w:left="120" w:right="300"/>
        <w:spacing w:after="0" w:line="264" w:lineRule="auto"/>
        <w:rPr>
          <w:sz w:val="20"/>
          <w:szCs w:val="20"/>
          <w:color w:val="auto"/>
        </w:rPr>
      </w:pPr>
      <w:r>
        <w:rPr>
          <w:rFonts w:ascii="Arial" w:cs="Arial" w:eastAsia="Arial" w:hAnsi="Arial"/>
          <w:sz w:val="16"/>
          <w:szCs w:val="16"/>
          <w:color w:val="auto"/>
        </w:rPr>
        <w:t>If our pre-IPO stockholders sell substantial amounts of our Class A common stock in the public market, the market price of our Class A common stock could decrease significantly. The perception in the public market that our pre-IPO stockholders might sell shares of Class A</w:t>
      </w:r>
    </w:p>
    <w:p>
      <w:pPr>
        <w:ind w:left="120" w:right="40"/>
        <w:spacing w:after="0" w:line="234" w:lineRule="auto"/>
        <w:rPr>
          <w:sz w:val="20"/>
          <w:szCs w:val="20"/>
          <w:color w:val="auto"/>
        </w:rPr>
      </w:pPr>
      <w:r>
        <w:rPr>
          <w:rFonts w:ascii="Arial" w:cs="Arial" w:eastAsia="Arial" w:hAnsi="Arial"/>
          <w:sz w:val="18"/>
          <w:szCs w:val="18"/>
          <w:color w:val="auto"/>
        </w:rPr>
        <w:t>common stock could also depress our market price. As of March , 2021, we had shares of Class A common stock outstanding and shares of Class B common stock outstanding. In connection with this offering, J.P. Morgan Securities LLC and Citigroup Global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Markets Inc., as representatives of the several underwriters in the IPO, have agreed to release the restrictions under the lock-up agreements</w:t>
      </w:r>
    </w:p>
    <w:p>
      <w:pPr>
        <w:spacing w:after="0" w:line="19"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that were executed in connection with the IPO with respect to up to shares (or up to shares including the underwriters’ option to purchase additional shares) of our Class A common stock in this offering provided that the release of shares of our Class A common stock</w:t>
      </w:r>
    </w:p>
    <w:p>
      <w:pPr>
        <w:spacing w:after="0" w:line="1" w:lineRule="exact"/>
        <w:rPr>
          <w:sz w:val="20"/>
          <w:szCs w:val="20"/>
          <w:color w:val="auto"/>
        </w:rPr>
      </w:pPr>
    </w:p>
    <w:p>
      <w:pPr>
        <w:ind w:left="120" w:right="180"/>
        <w:spacing w:after="0" w:line="587" w:lineRule="auto"/>
        <w:rPr>
          <w:sz w:val="20"/>
          <w:szCs w:val="20"/>
          <w:color w:val="auto"/>
        </w:rPr>
      </w:pPr>
      <w:r>
        <w:rPr>
          <w:rFonts w:ascii="Arial" w:cs="Arial" w:eastAsia="Arial" w:hAnsi="Arial"/>
          <w:sz w:val="18"/>
          <w:szCs w:val="18"/>
          <w:color w:val="auto"/>
        </w:rPr>
        <w:t>held by the selling stockholders is limited to the shares actually sold in this offering. This includes shares (or up to shares including the underwriters’ option to purchase additional shares) beneficially owned by certain of our directors or entities with which they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affiliated. Accordingly, as of March , 2021, after giving pro forma effect to this offering, we would have had shares of our Class A common stock outstanding and shares of our Class B common stock outstanding (or shares and shares, respectively, if the underwriters exercise this option to purchase additional shares in full).</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executive officers and directors are subject to the lock-up agreements described under “Underwriting” and the Rule 144 holding period requirements described under “Shares eligible for future sale.” After all of these lock-up periods have expired and the holding periods have elapsed and, in the case of any restricted stock, the shares have vested, additional shares will be eligible for sale in the public market. The market price of shares of our Class A common stock may drop significantly when the restrictions on resale by our existing stockholders lapse. A decline in the price of shares of our Class A common stock might impede our ability to raise capital through the issuance of additional shares of our Class A common stock or other equity securities.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market price of our Class A common stock.</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 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jc w:val="both"/>
        <w:ind w:left="120" w:right="140"/>
        <w:spacing w:after="0" w:line="248" w:lineRule="auto"/>
        <w:rPr>
          <w:sz w:val="20"/>
          <w:szCs w:val="20"/>
          <w:color w:val="auto"/>
        </w:rPr>
      </w:pPr>
      <w:r>
        <w:rPr>
          <w:rFonts w:ascii="Arial" w:cs="Arial" w:eastAsia="Arial" w:hAnsi="Arial"/>
          <w:sz w:val="18"/>
          <w:szCs w:val="18"/>
          <w:b w:val="1"/>
          <w:bCs w:val="1"/>
          <w:i w:val="1"/>
          <w:iCs w:val="1"/>
          <w:color w:val="auto"/>
        </w:rPr>
        <w:t>Certain provisions in our amended and restated certificate of incorporation, our amended and restated bylaws, our stockholders’ agreement and of Delaware law may prevent or delay an acquisition of MediaAlpha, Inc., which could decrease the trading price of our Class A common stock.</w:t>
      </w:r>
    </w:p>
    <w:p>
      <w:pPr>
        <w:spacing w:after="0" w:line="9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amended and restated certificate of incorporation, amended and restated bylaws and stockholders’ agreement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Among other things, these provisions:</w:t>
      </w:r>
    </w:p>
    <w:p>
      <w:pPr>
        <w:spacing w:after="0" w:line="114"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divide our Board of Directors into three staggered classes of directors that are each elected to three-year terms;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the Board of Directors with the sole ability to fill a vacancy created by the expansion of the Board of Directors;</w:t>
      </w:r>
    </w:p>
    <w:p>
      <w:pPr>
        <w:spacing w:after="0" w:line="117"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 after the date on which White Mountains, Insignia, and the Founders cease to collectively own at least a majority in voting power of shares of our common stock;</w:t>
      </w:r>
    </w:p>
    <w:p>
      <w:pPr>
        <w:spacing w:after="0" w:line="114" w:lineRule="exact"/>
        <w:rPr>
          <w:rFonts w:ascii="Arial" w:cs="Arial" w:eastAsia="Arial" w:hAnsi="Arial"/>
          <w:sz w:val="18"/>
          <w:szCs w:val="18"/>
          <w:color w:val="auto"/>
        </w:rPr>
      </w:pPr>
    </w:p>
    <w:p>
      <w:pPr>
        <w:ind w:left="340" w:right="88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of capital stock, making a takeover more difficult and expensive;</w:t>
      </w:r>
    </w:p>
    <w:p>
      <w:pPr>
        <w:spacing w:after="0" w:line="114"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could otherwise allow less than a majority of stockholders to elect director candidates;</w:t>
      </w:r>
    </w:p>
    <w:p>
      <w:pPr>
        <w:spacing w:after="0" w:line="114" w:lineRule="exact"/>
        <w:rPr>
          <w:rFonts w:ascii="Arial" w:cs="Arial" w:eastAsia="Arial" w:hAnsi="Arial"/>
          <w:sz w:val="18"/>
          <w:szCs w:val="18"/>
          <w:color w:val="auto"/>
        </w:rPr>
      </w:pPr>
    </w:p>
    <w:p>
      <w:pPr>
        <w:ind w:left="340" w:right="140" w:hanging="224"/>
        <w:spacing w:after="0" w:line="23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special meetings of the stockholders may be called only by or at the direction of the Board of Directors, the chairman of our board, the Chief Executive Officer or, so long as White Mountains, Insignia, and the Founders collectively own at least a majority in voting power of shares of our common stock, any such stockholder, subject to certain limitations;</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advance notice to be given by stockholders for any stockholder proposals or director nominees;</w:t>
      </w:r>
    </w:p>
    <w:p>
      <w:pPr>
        <w:spacing w:after="0" w:line="117" w:lineRule="exact"/>
        <w:rPr>
          <w:rFonts w:ascii="Arial" w:cs="Arial" w:eastAsia="Arial" w:hAnsi="Arial"/>
          <w:sz w:val="18"/>
          <w:szCs w:val="18"/>
          <w:color w:val="auto"/>
        </w:rPr>
      </w:pPr>
    </w:p>
    <w:p>
      <w:pPr>
        <w:ind w:left="340" w:right="20" w:hanging="224"/>
        <w:spacing w:after="0" w:line="23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the date on which White Mountains, Insignia, and the Founders cease to collectively own at least a majority in voting power of shares of our common stock, require the affirmative vote of holders of at least 75% of the voting power of our outstanding shares of common stock to amend certain provisions of our amended and restated certificate of incorporation and any provision of our amended and restated bylaws;</w:t>
      </w:r>
    </w:p>
    <w:p>
      <w:pPr>
        <w:spacing w:after="0" w:line="113" w:lineRule="exact"/>
        <w:rPr>
          <w:rFonts w:ascii="Arial" w:cs="Arial" w:eastAsia="Arial" w:hAnsi="Arial"/>
          <w:sz w:val="18"/>
          <w:szCs w:val="18"/>
          <w:color w:val="auto"/>
        </w:rPr>
      </w:pPr>
    </w:p>
    <w:p>
      <w:pPr>
        <w:jc w:val="both"/>
        <w:ind w:left="340" w:right="20" w:hanging="224"/>
        <w:spacing w:after="0" w:line="23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the date on which White Mountains, Insignia, and the Founders cease to collectively own at least a majority in voting power of shares of our common stock, require the affirmative vote of holders of at least 75% of the voting power of our outstanding shares of common stock to remove directors and only for cause;</w:t>
      </w:r>
    </w:p>
    <w:p>
      <w:pPr>
        <w:spacing w:after="0" w:line="113" w:lineRule="exact"/>
        <w:rPr>
          <w:rFonts w:ascii="Arial" w:cs="Arial" w:eastAsia="Arial" w:hAnsi="Arial"/>
          <w:sz w:val="18"/>
          <w:szCs w:val="18"/>
          <w:color w:val="auto"/>
        </w:rPr>
      </w:pPr>
    </w:p>
    <w:p>
      <w:pPr>
        <w:ind w:left="340" w:right="60" w:hanging="224"/>
        <w:spacing w:after="0" w:line="23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each of White Mountains, Insignia and the Founders are entitled to (i) nominate two directors to the Board of Directors for so long as such stockholder owns at least 12.5% of our issued and outstanding shares of common stock as of the closing of our IPO and (ii) nominate one director to the Board of Directors for so long as such stockholder owns less than 12.5% but at least 5% of our issued and outstanding shares of common stock as of the closing of our IPO;</w:t>
      </w:r>
    </w:p>
    <w:p>
      <w:pPr>
        <w:spacing w:after="0" w:line="113" w:lineRule="exact"/>
        <w:rPr>
          <w:rFonts w:ascii="Arial" w:cs="Arial" w:eastAsia="Arial" w:hAnsi="Arial"/>
          <w:sz w:val="18"/>
          <w:szCs w:val="18"/>
          <w:color w:val="auto"/>
        </w:rPr>
      </w:pPr>
    </w:p>
    <w:p>
      <w:pPr>
        <w:ind w:left="340" w:right="56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White Mountains, Insignia and the Founders agree to vote for each other’s board nominees pursuant to the terms of the stockholders’ agreement; and</w:t>
      </w:r>
    </w:p>
    <w:p>
      <w:pPr>
        <w:spacing w:after="0" w:line="114" w:lineRule="exact"/>
        <w:rPr>
          <w:rFonts w:ascii="Arial" w:cs="Arial" w:eastAsia="Arial" w:hAnsi="Arial"/>
          <w:sz w:val="18"/>
          <w:szCs w:val="18"/>
          <w:color w:val="auto"/>
        </w:rPr>
      </w:pPr>
    </w:p>
    <w:p>
      <w:pPr>
        <w:ind w:left="340" w:right="200" w:hanging="224"/>
        <w:spacing w:after="0" w:line="23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prior written consent of a majority in interest of White Mountains, Insignia and the Founders for any change in the size of the Board of Directors and to engage in change in control transactions, for so long as such stockholders own at least a majority of the issued and outstanding shares of common stock.</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In addition, Section 203 of the General Corporate Law of the State of Delaware (the “DGCL”) may affect the ability of an “interested stockholder” to engage in certain business combinations, for a period of three years following the time that the stockholder becomes an “interested stockholder.” We elected in our amended and restated certificate of incorporation not to be subject to Section 203 of the DGCL. Nevertheless, our amended and restated certificate of incorporation contains provisions that have the same effect as Section 203 of the DGCL, except that they provide that each of White Mountains, Insignia, and the Founders and their respective affiliates and transferees are not be deemed to be “interested stockholders,” and accordingly will not be subject to such restrictions.</w:t>
      </w:r>
    </w:p>
    <w:p>
      <w:pPr>
        <w:spacing w:after="0" w:line="102"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These and other provisions could have the effect of discouraging, delaying or preventing a transaction involving a change in control of our company or could make it more difficult for you and other stockholders to elect directors of your choosing or to cause us to take other corporate actions that you desire. See “Description of capital stock.”</w:t>
      </w:r>
    </w:p>
    <w:p>
      <w:pPr>
        <w:spacing w:after="0" w:line="80" w:lineRule="exact"/>
        <w:rPr>
          <w:sz w:val="20"/>
          <w:szCs w:val="20"/>
          <w:color w:val="auto"/>
        </w:rPr>
      </w:pPr>
    </w:p>
    <w:p>
      <w:pPr>
        <w:ind w:left="120" w:right="4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stockholders’ agreement contain provisions renouncing our interest and expectation to participate in certain corporate governance opportunities identified by or presented to certain of our existing investors.</w:t>
      </w:r>
    </w:p>
    <w:p>
      <w:pPr>
        <w:spacing w:after="0" w:line="9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Each of White Mountains, Insignia, and the Founders and their respective affiliates may engage in activities similar to ours or lines of business or have an interest in the same areas of corporate opportunities as we do. Our amended and restated certificate of incorporation and stockholders’ agreement provide that such stockholders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 person, or otherwise does not communicate information regarding such corporate opportunity to us, and we will waive and renounce any claim that such business opportunity constituted a corporate opportunity that should have been presented to us. These potential conflicts of interest could have a material and adverse effect on our business, financial condition, operating results, cash flows and prospects if attractive business opportunities are allocated by White Mountains, Insignia or the Founders to themselves or their respective affiliates instead of to us. See “Description of capital stock—Corporate opportunity.”</w:t>
      </w:r>
    </w:p>
    <w:p>
      <w:pPr>
        <w:spacing w:after="0" w:line="262"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exclusive forum provisions that may discourage lawsuits against us and our directors and officers.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amended and restated certificate of incorporation provides that unless the Board of Directors otherwise determines, the state courts in the State of Delaware or, if no state court located within the State of Delaware has jurisdiction, the federal court for the District of Delaware, are the sole and exclusive forum for any derivative action or proceeding brought on behalf of us, any action asserting a claim of breach of a fiduciary duty owed by any of our directors or officers to us or our stockholders, any action asserting a claim against us or any of our directors or officers arising pursuant to any provision of the DGCL or our amended and restated certificate of incorporation or amended and restated bylaws, or any action asserting a claim against us or any of our directors or officers governed by the internal affairs doctrine under Delaware law. In addition, our amended and restated certificate of incorporation provides that the federal district courts of the United States are the exclusive forum for resolving any complaint asserting a cause of action arising under the Securities Act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but that the forum selection provision will not apply to claims brought to enforce a duty or liability created by the Securities Exchange Act of 1934, as amended (the “Exchange Act”). While the Delaware Supreme Court has recently upheld provisions of the certificates of incorporation of other Delaware corporations that are similar to this forum provision, a court of a state other than the State of Delaware could decide that such provisions are not enforceable under the laws of that state. These exclusive forum provisions may limit the ability of our stockholders to bring a claim in a judicial forum that such stockholders find favorable for disputes with us or our directors or officers, which may discourage such lawsuits against us and our directors and officers. Alternatively, if a court were to find one or more of these exclusive forum provisions inapplicable to, or unenforceable in respect of, one or more of the specified types of actions or proceedings described above, we may incur additional costs associated with resolving such matters in other jurisdictions or forums, which could materially and adversely affect our business, financial condition, operating results, cash flows, and prospects.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Class A common stock shall be deemed to have notice of and consented to this exclusive forum provision, but will not be deemed to have waived our compliance with the federal securities laws and the rules and regulations thereunder.</w:t>
      </w:r>
    </w:p>
    <w:p>
      <w:pPr>
        <w:spacing w:after="0" w:line="264" w:lineRule="exact"/>
        <w:rPr>
          <w:sz w:val="20"/>
          <w:szCs w:val="20"/>
          <w:color w:val="auto"/>
        </w:rPr>
      </w:pPr>
    </w:p>
    <w:p>
      <w:pPr>
        <w:jc w:val="both"/>
        <w:ind w:left="120" w:right="26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provide that, if a claiming party brings certain actions against us and is not successful on the merits, then it will be obligated to pay our litigation costs, which could have the effect of discouraging litigation, including claims brought by our stockholders.</w:t>
      </w:r>
    </w:p>
    <w:p>
      <w:pPr>
        <w:spacing w:after="0" w:line="9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amended and restated bylaws provide that, except to the extent prohibited by the DGCL, and unless our Board of Directors otherwise approves, in the event that any claiming party (a) initiates, asserts, joins, offers substantial assistance to or has a direct financial interest in a covered proceeding and (b) such claiming party does not obtain a judgment on the merits that substantially achieves, in substance and amount, the full remedy sought by such claiming party, then each such claiming party will be obligated to reimburse us and any applicable director, officer or other employee for all fees, costs, and expenses of every kind and description (including, but not limited to, all attorneys’ fees and other litigation expenses) that we or any such director, officer or other employee actually incurs in connection with the covered proceeding.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 and expenses. Any person or entity purchasing or otherwise acquiring any interest in the shares of our capital stock will be deemed to have notice of and consented to this provision. This provision could have the effect of discouraging litigation against us, including claims brought by our stockholders and including claims that are partially (but not wholly) successful on the merits. However, it is currently unclear whether the Delaware legislature will take action to eliminate or limit the ability of stock corporations to implement provisions such as this, or whether Delaware courts will enforce in full a provision such as this for a Delaware stock corporation. If the Delaware legislature takes action to limit or eliminate our ability to include this provision in our amended and restated bylaws or a court were to find this provision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85" w:lineRule="exact"/>
        <w:rPr>
          <w:sz w:val="20"/>
          <w:szCs w:val="20"/>
          <w:color w:val="auto"/>
        </w:rPr>
      </w:pPr>
    </w:p>
    <w:p>
      <w:pPr>
        <w:ind w:left="120" w:right="160"/>
        <w:spacing w:after="0" w:line="262" w:lineRule="auto"/>
        <w:rPr>
          <w:sz w:val="20"/>
          <w:szCs w:val="20"/>
          <w:color w:val="auto"/>
        </w:rPr>
      </w:pPr>
      <w:r>
        <w:rPr>
          <w:rFonts w:ascii="Arial" w:cs="Arial" w:eastAsia="Arial" w:hAnsi="Arial"/>
          <w:sz w:val="18"/>
          <w:szCs w:val="18"/>
          <w:b w:val="1"/>
          <w:bCs w:val="1"/>
          <w:i w:val="1"/>
          <w:iCs w:val="1"/>
          <w:color w:val="auto"/>
        </w:rPr>
        <w:t>Our Board of Directors has the ability to issue blank check preferred stock, which may discourage or impede acquisition attempts or other transactions.</w:t>
      </w:r>
    </w:p>
    <w:p>
      <w:pPr>
        <w:spacing w:after="0" w:line="81"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Our Board of Directors has the power, subject to applicable law, to issue series of preferred stock that could, depending on the terms of the series, impede the completion of a merger, tender offer or other takeover attempt.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For instance, subject to applicable law, a series of preferred stock may impede a business combination by including class voting rights, which would enable the holder or holders of such series to block a proposed transaction. Our Board of Directors will make any determination to issue shares of preferred stock based on its judgment as to our and our stockholders’ best interests. Our Board of Directors, in so acting, could issue shares of preferred stock having terms which could discourage an acquisition attempt or other transaction that some, or a majority, of the stockholders may believe to be in their best interests or in which stockholders would have received a premium for their stock over the then prevailing market price of the stock.</w:t>
      </w:r>
    </w:p>
    <w:p>
      <w:pPr>
        <w:spacing w:after="0" w:line="82"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Different interests among our investors or between our investors and us, including with respect to related party transactions, could prevent us from achieving our business goals.</w:t>
      </w:r>
    </w:p>
    <w:p>
      <w:pPr>
        <w:spacing w:after="0" w:line="81"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For the foreseeable future, we expect that a majority of our Board of Directors will include directors who are affiliated with White Mountains, Insignia, and the Founders. See “Certain relationships and related party transactions.” Certain of our pre-IPO stockholders could have business interests that conflict with those of the other investors, which may make it difficult for us to pursue strategic initiatives that require consensus among our owners.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relationship with our pre-IPO stockholders could create conflicts of interest among our investors, or between our investors and us, in a number of areas relating to our past and ongoing relationships. In addition, our pre-IPO stockholders may have different tax positions from us which could influence their decisions regarding whether and when to dispose of assets, whether and when to incur new or refinance existing indebtedness, especially in light of the existence of the tax receivables agreement, and whether and when we should terminate the tax receivables agreement and accelerate our obligations thereunder. In addition, the structuring of future transactions may take into consideration these pre-IPO stockholders’ tax or other considerations even where no similar benefit would accrue to us. Except as set forth in the tax receivables agreement and the stockholders’ agreement, there are no formal dispute resolution procedures in place to resolve conflicts between us and our pre-IPO stockholders or among our pre-IPO stockholders. We may not be able to resolve any potential conflicts between us and any pre-IPO stockholders and, even if we do, the resolution may be less favorable to us than if we were negotiating with an unaffiliated party.</w:t>
      </w:r>
    </w:p>
    <w:p>
      <w:pPr>
        <w:spacing w:after="0" w:line="106" w:lineRule="exact"/>
        <w:rPr>
          <w:sz w:val="20"/>
          <w:szCs w:val="20"/>
          <w:color w:val="auto"/>
        </w:rPr>
      </w:pPr>
    </w:p>
    <w:p>
      <w:pPr>
        <w:jc w:val="both"/>
        <w:ind w:left="120" w:right="260"/>
        <w:spacing w:after="0" w:line="236" w:lineRule="auto"/>
        <w:rPr>
          <w:sz w:val="20"/>
          <w:szCs w:val="20"/>
          <w:color w:val="auto"/>
        </w:rPr>
      </w:pPr>
      <w:r>
        <w:rPr>
          <w:rFonts w:ascii="Arial" w:cs="Arial" w:eastAsia="Arial" w:hAnsi="Arial"/>
          <w:sz w:val="18"/>
          <w:szCs w:val="18"/>
          <w:color w:val="auto"/>
        </w:rPr>
        <w:t>This concentration of ownership and voting power may also delay, defer or even prevent an acquisition by a third party or other change of control of our company which could deprive you of an opportunity to receive a premium for your shares of Class A common stock and may make some transactions more difficult or impossible without the support of such pre-IPO stockholders, even if such events are in the best interests of minority stockholders. Furthermore, this concentration of voting power may have a negative impact on the price of our Class A common stock.</w:t>
      </w:r>
    </w:p>
    <w:p>
      <w:pPr>
        <w:spacing w:after="0" w:line="10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Pursuant to the stockholders’ agreement, certain of our actions will generally require prior written consent of a majority in interest of White Mountains, Insignia, and the Founders, for so long as such stockholders continue to own at least a majority of the issued and outstanding shares of common stock. Each of White Mountains, Insignia, and the Founders is also entitled to nominate one or two directors to the Board of Directors for so long as such stockholder owns at least 12.5%, in the case of two directors, or less than 12.5% but at least 5%, in the case of one director, of our issued and outstanding shares of common stock as of the closing of our IPO. See “Organizational structure— Stockholders’ agreement.”</w:t>
      </w:r>
    </w:p>
    <w:p>
      <w:pPr>
        <w:spacing w:after="0" w:line="10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Section 203 of the DGCL may affect the ability of an “interested stockholder” to engage in certain business combinations, for a period of three years following the time that the stockholder becomes an “interested stockholder.” We elected in our amended and restated certificate of incorporation not to be subject to Section 203 of the DGCL. Nevertheless, our amended and restated certificate of incorporation contains provisions that have the same effect as Section 203 of the DGCL, except that they provide that each of White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Mountains, Insignia, and the Founders and their respective affiliates and transferees are not deemed to be “interested stockholders,” and accordingly are not subject to such restrictions.</w:t>
      </w:r>
    </w:p>
    <w:p>
      <w:pPr>
        <w:spacing w:after="0" w:line="101" w:lineRule="exact"/>
        <w:rPr>
          <w:sz w:val="20"/>
          <w:szCs w:val="20"/>
          <w:color w:val="auto"/>
        </w:rPr>
      </w:pPr>
    </w:p>
    <w:p>
      <w:pPr>
        <w:ind w:left="120" w:right="520"/>
        <w:spacing w:after="0" w:line="299" w:lineRule="auto"/>
        <w:rPr>
          <w:sz w:val="20"/>
          <w:szCs w:val="20"/>
          <w:color w:val="auto"/>
        </w:rPr>
      </w:pPr>
      <w:r>
        <w:rPr>
          <w:rFonts w:ascii="Arial" w:cs="Arial" w:eastAsia="Arial" w:hAnsi="Arial"/>
          <w:sz w:val="16"/>
          <w:szCs w:val="16"/>
          <w:color w:val="auto"/>
        </w:rPr>
        <w:t>In addition, because Insignia and the Founders hold their economic interest in our business indirectly through QL Holdings LLC, but not through MediaAlpha, Inc., these existing owners may have conflicting interests with holders of shares of our Class A common stock.</w:t>
      </w:r>
    </w:p>
    <w:p>
      <w:pPr>
        <w:spacing w:after="0" w:line="35" w:lineRule="exact"/>
        <w:rPr>
          <w:sz w:val="20"/>
          <w:szCs w:val="20"/>
          <w:color w:val="auto"/>
        </w:rPr>
      </w:pPr>
    </w:p>
    <w:p>
      <w:pPr>
        <w:ind w:left="120" w:right="320"/>
        <w:spacing w:after="0" w:line="248" w:lineRule="auto"/>
        <w:rPr>
          <w:sz w:val="20"/>
          <w:szCs w:val="20"/>
          <w:color w:val="auto"/>
        </w:rPr>
      </w:pPr>
      <w:r>
        <w:rPr>
          <w:rFonts w:ascii="Arial" w:cs="Arial" w:eastAsia="Arial" w:hAnsi="Arial"/>
          <w:sz w:val="18"/>
          <w:szCs w:val="18"/>
          <w:b w:val="1"/>
          <w:bCs w:val="1"/>
          <w:i w:val="1"/>
          <w:iCs w:val="1"/>
          <w:color w:val="auto"/>
        </w:rPr>
        <w:t>We are a “controlled company” within the meaning of the NYSE rules and, as a result, we qualify for exemptions from certain corporate governance requirements. Our stockholders do not have the same protections afforded to stockholders of companies that are subject to such requirements.</w:t>
      </w:r>
    </w:p>
    <w:p>
      <w:pPr>
        <w:spacing w:after="0" w:line="9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Certain of our pre-IPO stockholders that are a party to the stockholders’ agreement own a majority of the voting power of our outstanding common stock. Accordingly, we are considered a “controlled company” under the NYSE rules. Under these rules, a “controlled company” may elect not to comply with certain corporate governance requirements, including the requirements that, within one year of the date of listing of our Class A common stock:</w:t>
      </w:r>
    </w:p>
    <w:p>
      <w:pPr>
        <w:spacing w:after="0" w:line="114" w:lineRule="exact"/>
        <w:rPr>
          <w:sz w:val="20"/>
          <w:szCs w:val="20"/>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board that is composed of a majority of “independent directors” as defined under the NYSE rules;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compensation committee and a nominating and corporate governance committee that is composed of independent directors.</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intend to continue to take advantage of these exemptions for so long as we continue to qualify as a “controlled company.” Accordingly, our stockholders may not have the same protections afforded to stockholders of companies that are subject to all of the NYSE corporate governance requirements. See “Management—Controlled company.”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structure</w:t>
      </w:r>
    </w:p>
    <w:p>
      <w:pPr>
        <w:spacing w:after="0" w:line="114" w:lineRule="exact"/>
        <w:rPr>
          <w:sz w:val="20"/>
          <w:szCs w:val="20"/>
          <w:color w:val="auto"/>
        </w:rPr>
      </w:pPr>
    </w:p>
    <w:p>
      <w:pPr>
        <w:ind w:left="120" w:right="800"/>
        <w:spacing w:after="0" w:line="262"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indirect interest in QL Holdings LLC and, accordingly, we are dependent upon distributions from QL Holdings LLC to pay taxes and other expenses.</w:t>
      </w:r>
    </w:p>
    <w:p>
      <w:pPr>
        <w:spacing w:after="0" w:line="81"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 xml:space="preserve">We are a holding company and have no material assets other than our indirect ownership of Class A-1 units of QL Holdings LLC. We have no independent means of generating revenue, all of which is generated by QL Holdings LLC’s subsidiary, QuoteLab, LLC. QL Holdings LLC is treated as a partnership for U.S. federal income tax purposes and, as such, is not itself subject to U.S. federal income tax. Instead, its taxable income is allocated to its members, including us. Accordingly, we incur income taxes on our allocable share of any such income. In addition, we will continue to incur expenses related to our operations. We intend (a) to continue to cause QuoteLab, LLC to make cash distributions to its sole member, QL Holdings LLC, and (b) in turn to continue to cause QL Holdings LLC to make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cash distributions, or tax distributions, to its members, including us, to (i) fund our U.S. federal, state and local tax obligations in respect of our allocable share of QL Holdings LLC’s taxable income and (ii) cover our obligations under the tax receivables agreement, as described under “Organizational structure—Tax receivables agreement.” In certain cases, QL Holdings LLC may also make tax distributions for a fiscal quarter to another member in respect of its pre-exchange allocable share of QL Holdings LLC’s taxable income for such fiscal quarter relating to Class B-1 Units (if any) transferred to us by such member (pursuant to the exchange agreement) before the applicable tax distribution date. To the extent that we need funds to pay our tax or other liabilities or to fund our operations, and QL Holdings LLC or QuoteLab, LLC is restricted from making distributions to us under applicable agreements, laws or regulations or does not have sufficient cash to make these distributions, we</w:t>
      </w: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may have to borrow funds to meet these obligations and operate our business, and our business, financial condition, operating results, cash flows, and prospects could be materially and adversely affected. To the extent that we are unable to make payments under the tax receivables agreement for any reason, such payments will be deferred and will accrue interest until paid.</w:t>
      </w:r>
    </w:p>
    <w:p>
      <w:pPr>
        <w:spacing w:after="0" w:line="80" w:lineRule="exact"/>
        <w:rPr>
          <w:sz w:val="20"/>
          <w:szCs w:val="20"/>
          <w:color w:val="auto"/>
        </w:rPr>
      </w:pPr>
    </w:p>
    <w:p>
      <w:pPr>
        <w:ind w:left="120" w:right="260"/>
        <w:spacing w:after="0" w:line="262" w:lineRule="auto"/>
        <w:rPr>
          <w:sz w:val="20"/>
          <w:szCs w:val="20"/>
          <w:color w:val="auto"/>
        </w:rPr>
      </w:pPr>
      <w:r>
        <w:rPr>
          <w:rFonts w:ascii="Arial" w:cs="Arial" w:eastAsia="Arial" w:hAnsi="Arial"/>
          <w:sz w:val="18"/>
          <w:szCs w:val="18"/>
          <w:b w:val="1"/>
          <w:bCs w:val="1"/>
          <w:i w:val="1"/>
          <w:iCs w:val="1"/>
          <w:color w:val="auto"/>
        </w:rPr>
        <w:t>In certain circumstances, recently enacted legislation may impute liability for adjustments to QL Holdings LLC’s tax return on QL Holdings LLC itself, which may cause QL Holdings LLC to be subject to material liabilities.</w:t>
      </w:r>
    </w:p>
    <w:p>
      <w:pPr>
        <w:spacing w:after="0" w:line="8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Recently enacted legislation may impute liability for adjustments to a partnership’s tax return on the partnership itself in certain circumstances, absent an election to the contrary. QL Holdings LLC may be subject to material liabilities pursuant to this legislation and related guidance if, for example, its calculations of taxable income are incorrect.</w:t>
      </w:r>
    </w:p>
    <w:p>
      <w:pPr>
        <w:spacing w:after="0" w:line="80" w:lineRule="exact"/>
        <w:rPr>
          <w:sz w:val="20"/>
          <w:szCs w:val="20"/>
          <w:color w:val="auto"/>
        </w:rPr>
      </w:pPr>
    </w:p>
    <w:p>
      <w:pPr>
        <w:ind w:left="120" w:right="40"/>
        <w:spacing w:after="0" w:line="262" w:lineRule="auto"/>
        <w:rPr>
          <w:sz w:val="20"/>
          <w:szCs w:val="20"/>
          <w:color w:val="auto"/>
        </w:rPr>
      </w:pPr>
      <w:r>
        <w:rPr>
          <w:rFonts w:ascii="Arial" w:cs="Arial" w:eastAsia="Arial" w:hAnsi="Arial"/>
          <w:sz w:val="18"/>
          <w:szCs w:val="18"/>
          <w:b w:val="1"/>
          <w:bCs w:val="1"/>
          <w:i w:val="1"/>
          <w:iCs w:val="1"/>
          <w:color w:val="auto"/>
        </w:rPr>
        <w:t>We are required to pay Insignia, the Senior Executives, and White Mountains for certain tax benefits we may claim in the future, and these amounts are expected to be material.</w:t>
      </w:r>
    </w:p>
    <w:p>
      <w:pPr>
        <w:spacing w:after="0" w:line="81"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In connection with the IPO, we purchased Class B-1 units of QL Holdings LLC from certain unitholders (including the Selling Class B-1 Unit Holders). In connection with this offering and in the future, Class B-1 units of QL Holdings LLC may be exchanged, together with an equal number of shares of our Class B common stock, for shares of our Class A common stock (or, at our election, cash of an equivalent value). Our initial purchase of units in the IPO and the exchanges of Class B-1 units in connection with this offering, the Pre-IPO Leveraged Distribution and other actual or deemed distributions by QL Holdings LLC to its members, and the post-IPO exchanges of Class B-1 units of QL Holdings LLC may result in increases in our share of the tax basis of the assets of QL Holdings LLC. In connection with the IPO, we entered into the tax receivables agreement with Insignia, the Senior Executives, and White Mountains related to the tax basis step-up of the assets of QL Holdings LLC and certain net operating losses of Intermediate Holdco. Pursuant to the tax receivables agreement, we are required to pay Insignia and the Senior Executives 85% of the amount of the cash savings, if any, in U.S. federal, state and local income tax that we realize (or are deemed to realize) as a result of these possible increases in tax basis as well as certain other tax benefits attributable to payments under the tax receivables agreement itself. 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our IPO and the deduction of any imputed interest attributable to our payment obligations under the tax receivables agreement. We currently estimate that the amount of any such net operating losses is immaterial.</w:t>
      </w:r>
    </w:p>
    <w:p>
      <w:pPr>
        <w:spacing w:after="0" w:line="105"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payments that we make under the tax receivables agreement could be substantial. Assuming no material changes in relevant tax law and based on our current operating plan and other assumptions, if all of the Class B-1 units of QL Holdings LLC were acquired by us in taxable transactions on December 31, 2020 for a price of $39.07 (which is the last reported sale price of our Class A common stock as of December 31, 2020 on the NYSE) per Class B-1 unit of QL Holdings LLC, we estimate that the amount that we would be required to pay under the tax receivables agreement could be approximately $293 million. The actual amount we will be required to pay under the tax receivables agreement may be materially greater than this hypothetical amount as potential future payments will vary depending on a number of factors, including the timing of the exchanges, the price of our Class A common stock at the time of the exchanges, the amount, character, and timing of our income and the tax rates then applicable. Payments under the tax receivables agreement are not conditioned on Insignia’s, the Senior Executives’, or White Mountains’ continued ownership of any of our equity.</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We will not be reimbursed for any payments made to Insignia, the Senior Executives, or White Mountains under the tax receivables agreement in the event that any tax benefits are disallowed.</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Although we are not aware of any issue that would cause the U.S. Internal Revenue Service (the “IRS”) or other relevant tax authorities to challenge potential tax basis increases or other tax benefits covered by the tax receivables agreement, if the IRS successfully challenges the tax basis increases at any point in the future after payments are made under the tax receivables agreement, we will not be reimbursed for any payments made under the tax receivables agreement (although future payments under the tax receivables agreement, if any, would be netted against any unreimbursed payments to reflect the result of any such successful challenge by the IRS). As a result, we could make payments under the tax receivables agreement in excess of our cash tax savings that we ultimately realize. We might not determine whether we have effectively made such excess cash payments for a number of years following the time of such payments. See “Organizational structure—Tax receivables agreement.”</w:t>
      </w:r>
    </w:p>
    <w:p>
      <w:pPr>
        <w:spacing w:after="0" w:line="80" w:lineRule="exact"/>
        <w:rPr>
          <w:sz w:val="20"/>
          <w:szCs w:val="20"/>
          <w:color w:val="auto"/>
        </w:rPr>
      </w:pPr>
    </w:p>
    <w:p>
      <w:pPr>
        <w:ind w:left="120"/>
        <w:spacing w:after="0" w:line="279" w:lineRule="auto"/>
        <w:rPr>
          <w:sz w:val="20"/>
          <w:szCs w:val="20"/>
          <w:color w:val="auto"/>
        </w:rPr>
      </w:pPr>
      <w:r>
        <w:rPr>
          <w:rFonts w:ascii="Arial" w:cs="Arial" w:eastAsia="Arial" w:hAnsi="Arial"/>
          <w:sz w:val="16"/>
          <w:szCs w:val="16"/>
          <w:b w:val="1"/>
          <w:bCs w:val="1"/>
          <w:i w:val="1"/>
          <w:iCs w:val="1"/>
          <w:color w:val="auto"/>
        </w:rPr>
        <w:t>We may not be able to realize all or a portion of the tax benefits that are currently expected to result from our purchase (through Intermediate Holdco) of Class B-1 units of QL Holdings LLC from certain unitholders (including the Selling Class B-1 Unitholders) in connection with the IPO, the Pre- IPO Leveraged Distribution and other actual or deemed distributions by QL Holdings LLC to its members, post-IPO exchanges (including in connection with this offering) of Class B-1 units of QL Holdings LLC, the utilization of pre-IPO net operating losses of Intermediate Holdco, and payments made under the tax receivables agreement.</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ability to realize the tax benefits that we currently expect to be available as a result of (i) the increases in tax basis created by our</w:t>
      </w:r>
    </w:p>
    <w:p>
      <w:pPr>
        <w:ind w:left="120"/>
        <w:spacing w:after="0" w:line="234" w:lineRule="auto"/>
        <w:rPr>
          <w:sz w:val="20"/>
          <w:szCs w:val="20"/>
          <w:color w:val="auto"/>
        </w:rPr>
      </w:pPr>
      <w:r>
        <w:rPr>
          <w:rFonts w:ascii="Arial" w:cs="Arial" w:eastAsia="Arial" w:hAnsi="Arial"/>
          <w:sz w:val="18"/>
          <w:szCs w:val="18"/>
          <w:color w:val="auto"/>
        </w:rPr>
        <w:t>purchase (through Intermediate Holdco) of Class B-1 units of QL Holdings LLC from certain unitholders (including the Selling Class B-1</w:t>
      </w:r>
    </w:p>
    <w:p>
      <w:pPr>
        <w:ind w:left="120"/>
        <w:spacing w:after="0" w:line="235" w:lineRule="auto"/>
        <w:rPr>
          <w:sz w:val="20"/>
          <w:szCs w:val="20"/>
          <w:color w:val="auto"/>
        </w:rPr>
      </w:pPr>
      <w:r>
        <w:rPr>
          <w:rFonts w:ascii="Arial" w:cs="Arial" w:eastAsia="Arial" w:hAnsi="Arial"/>
          <w:sz w:val="18"/>
          <w:szCs w:val="18"/>
          <w:color w:val="auto"/>
        </w:rPr>
        <w:t>Unitholders) in connection with the IPO, or by any post-IPO exchanges (including in connection with this offering) of Class B-1 units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QL Holdings LLC, in each case, together with an equal number of shares of our Class B common stock, for shares of our Class A common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(or, at our election, cash of an equivalent value), (ii) the Pre-IPO Leveraged Distribution and other actual or deemed distributions by QL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Holdings LLC to its members that result in tax basis adjustments to the assets of QL Holdings LLC, (iii) payments made pursuant to the tax</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receivables agreement, (iv) our ability to utilize the pre-IPO net operating losses of Intermediate Holdco, and (v) our ability to utilize the</w:t>
      </w:r>
    </w:p>
    <w:p>
      <w:pPr>
        <w:ind w:left="120"/>
        <w:spacing w:after="0" w:line="234" w:lineRule="auto"/>
        <w:rPr>
          <w:sz w:val="20"/>
          <w:szCs w:val="20"/>
          <w:color w:val="auto"/>
        </w:rPr>
      </w:pPr>
      <w:r>
        <w:rPr>
          <w:rFonts w:ascii="Arial" w:cs="Arial" w:eastAsia="Arial" w:hAnsi="Arial"/>
          <w:sz w:val="18"/>
          <w:szCs w:val="18"/>
          <w:color w:val="auto"/>
        </w:rPr>
        <w:t>interest deductions imputed under the tax receivables agreement all depend on a number of assumptions, including that we earn sufficient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taxable income each year during the period over which the deductions arising from such basis increases and payments are available and that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adverse changes in applicable law or regulations. If our actual taxable income is insufficient or there are adverse changes in</w:t>
      </w:r>
    </w:p>
    <w:p>
      <w:pPr>
        <w:ind w:left="120"/>
        <w:spacing w:after="0" w:line="234" w:lineRule="auto"/>
        <w:rPr>
          <w:sz w:val="20"/>
          <w:szCs w:val="20"/>
          <w:color w:val="auto"/>
        </w:rPr>
      </w:pPr>
      <w:r>
        <w:rPr>
          <w:rFonts w:ascii="Arial" w:cs="Arial" w:eastAsia="Arial" w:hAnsi="Arial"/>
          <w:sz w:val="18"/>
          <w:szCs w:val="18"/>
          <w:color w:val="auto"/>
        </w:rPr>
        <w:t>applicable law or regulations, we may be unable to realize all or a portion of these expected benefits and our cash flows and stockholders’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could be negatively affected. See “Organizational structure—Tax receivables agreement.”</w:t>
      </w:r>
    </w:p>
    <w:p>
      <w:pPr>
        <w:spacing w:after="0" w:line="84" w:lineRule="exact"/>
        <w:rPr>
          <w:sz w:val="20"/>
          <w:szCs w:val="20"/>
          <w:color w:val="auto"/>
        </w:rPr>
      </w:pPr>
    </w:p>
    <w:p>
      <w:pPr>
        <w:ind w:left="120" w:right="220"/>
        <w:spacing w:after="0" w:line="262" w:lineRule="auto"/>
        <w:rPr>
          <w:sz w:val="20"/>
          <w:szCs w:val="20"/>
          <w:color w:val="auto"/>
        </w:rPr>
      </w:pPr>
      <w:r>
        <w:rPr>
          <w:rFonts w:ascii="Arial" w:cs="Arial" w:eastAsia="Arial" w:hAnsi="Arial"/>
          <w:sz w:val="18"/>
          <w:szCs w:val="18"/>
          <w:b w:val="1"/>
          <w:bCs w:val="1"/>
          <w:i w:val="1"/>
          <w:iCs w:val="1"/>
          <w:color w:val="auto"/>
        </w:rPr>
        <w:t>In certain cases, payments by us under the tax receivables agreement may be accelerated or significantly exceed the tax benefits we realize in respect of the tax attributes subject to the tax receivables agreement.</w:t>
      </w:r>
    </w:p>
    <w:p>
      <w:pPr>
        <w:spacing w:after="0" w:line="8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tax receivables agreement provides that upon certain changes of control, or if, at any time, we elect an early termination of the tax receivables agreement or are in material breach of our obligations under the tax receivables agreement, we will be required to make immediate payments to the tax receivables agreement’s counterparties equal to the present value of the anticipated future tax benefits. Such payments would be based on certain valuation assumptions and deemed events set forth in the tax receivables agreement, including the assumption that we have sufficient taxable income to fully use such tax benefits. The benefits would be payable even though, in certain circumstances, no Class B-1 units of QL Holdings LLC have actually been exchanged and no net operating losses are actually used at the time of the accelerated payments. Accordingly, payments under the tax receivables agreement may be made years in advance of the actual realization, if any, of the anticipated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720"/>
        <w:spacing w:after="0" w:line="239" w:lineRule="auto"/>
        <w:rPr>
          <w:sz w:val="20"/>
          <w:szCs w:val="20"/>
          <w:color w:val="auto"/>
        </w:rPr>
      </w:pPr>
      <w:r>
        <w:rPr>
          <w:rFonts w:ascii="Arial" w:cs="Arial" w:eastAsia="Arial" w:hAnsi="Arial"/>
          <w:sz w:val="18"/>
          <w:szCs w:val="18"/>
          <w:color w:val="auto"/>
        </w:rPr>
        <w:t>tax benefits and may be significantly greater than the benefits we eventually realize. In these situations, our obligations under the tax receivables agreement could have a substantial negative impact on our liquidity.</w:t>
      </w:r>
    </w:p>
    <w:p>
      <w:pPr>
        <w:spacing w:after="0" w:line="101"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We may not be able to finance our obligations under the tax receivables agreement and any indebtedness we incur may limit our subsidiaries’ ability to make distributions to us to pay these obligations. In addition, our obligations under the tax receivables agreement could have the effect of delaying, deferring or preventing certain mergers, asset sales, other forms of business combinations or other changes of control that could be in the best interests of holders of our Class A common stock. See “Organizational structure—Tax receivables agreement.”</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Cautionary note regarding forward-looking statements</w:t>
      </w:r>
    </w:p>
    <w:p>
      <w:pPr>
        <w:spacing w:after="0" w:line="15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This prospectus contains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06"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14" w:lineRule="exact"/>
        <w:rPr>
          <w:sz w:val="20"/>
          <w:szCs w:val="20"/>
          <w:color w:val="auto"/>
        </w:rPr>
      </w:pPr>
    </w:p>
    <w:p>
      <w:pPr>
        <w:ind w:left="340" w:right="80" w:hanging="224"/>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and retain insurance carriers to our platform and to make available quality Consumer Referrals at attractive volumes and prices to drive transactions on our platform;</w:t>
      </w:r>
    </w:p>
    <w:p>
      <w:pPr>
        <w:spacing w:after="0" w:line="114"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reliance on a limited number of insurance carriers, many of which have no long-term contractual commitments with us, and any potential termination of those relationships;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Existing and future laws and regulations affecting the property &amp; casualty insurance, health insurance and life insurance verticals;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and developments in the regulation of the underlying industries in which our partners operate;</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with other technology companies engaged in digital customer acquisition, as well as buyers that attract consumers through their own customer acquisition strategies, third-party online platforms or other traditional methods of distribution;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integrate and retain qualified employees;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Reductions in DTC digital spend by our buyers;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dependence on supply partners for the generation of a majority of our Consumer Referrals;</w:t>
      </w:r>
    </w:p>
    <w:p>
      <w:pPr>
        <w:spacing w:after="0" w:line="117" w:lineRule="exact"/>
        <w:rPr>
          <w:rFonts w:ascii="Arial" w:cs="Arial" w:eastAsia="Arial" w:hAnsi="Arial"/>
          <w:sz w:val="18"/>
          <w:szCs w:val="18"/>
          <w:color w:val="auto"/>
        </w:rPr>
      </w:pPr>
    </w:p>
    <w:p>
      <w:pPr>
        <w:ind w:left="340" w:right="420" w:hanging="224"/>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dependence on internet search companies to direct a significant portion of visitors to our suppliers’ websites and our proprietary websites;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novel strain of the coronavirus and the disease it causes (COVID-19);</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existing and future indebtedness;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to operations as a result of future acquisitions;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obtain, maintain, protect and enforce our intellectual property rights, proprietary systems, technology and brand;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new offerings and penetrate new vertical markets;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320" w:top="459" w:right="5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reliance on data provided to us by our demand and supply partners and consumers;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public health crises, political crises, economic downturns, or other unexpected events;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estimates and assumptions in the preparation of our financial statements;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litigation and claims, including IP disputes;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collect our receivables from our partners;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with respect to LIBOR;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our financial results caused by seasonality;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the DTC insurance distribution sector and evolving nature of our relatively new business model;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to or failures of our technological infrastructure and platform;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manage and maintain relationships with third-party service providers;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Cybersecurity breaches or other attacks involving our systems or those of our partners or third-party service providers;</w:t>
      </w:r>
    </w:p>
    <w:p>
      <w:pPr>
        <w:spacing w:after="0" w:line="117" w:lineRule="exact"/>
        <w:rPr>
          <w:rFonts w:ascii="Arial" w:cs="Arial" w:eastAsia="Arial" w:hAnsi="Arial"/>
          <w:sz w:val="18"/>
          <w:szCs w:val="18"/>
          <w:color w:val="auto"/>
        </w:rPr>
      </w:pPr>
    </w:p>
    <w:p>
      <w:pPr>
        <w:ind w:left="340" w:right="38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protect consumer information and other data and risks of reputational harm due to an actual or perceived failure by us to protect such information and other data;</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being a public company;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our common stock and this offering;</w:t>
      </w:r>
    </w:p>
    <w:p>
      <w:pPr>
        <w:spacing w:after="0" w:line="117" w:lineRule="exact"/>
        <w:rPr>
          <w:rFonts w:ascii="Arial" w:cs="Arial" w:eastAsia="Arial" w:hAnsi="Arial"/>
          <w:sz w:val="18"/>
          <w:szCs w:val="18"/>
          <w:color w:val="auto"/>
        </w:rPr>
      </w:pPr>
    </w:p>
    <w:p>
      <w:pPr>
        <w:ind w:left="340" w:right="20" w:hanging="224"/>
        <w:spacing w:after="0" w:line="299"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Risks related to our intention to take advantage of certain exemptions as a “controlled company” under the rules of the NYSE, and the fact that the interests of our controlling stockholders (White Mountains, Insignia, and the Founders) may conflict with those of other investors;</w:t>
      </w:r>
    </w:p>
    <w:p>
      <w:pPr>
        <w:spacing w:after="0" w:line="68" w:lineRule="exact"/>
        <w:rPr>
          <w:rFonts w:ascii="Arial" w:cs="Arial" w:eastAsia="Arial" w:hAnsi="Arial"/>
          <w:sz w:val="16"/>
          <w:szCs w:val="16"/>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our corporate structure;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other risk factors described under “Risk factors.”</w:t>
      </w:r>
    </w:p>
    <w:p>
      <w:pPr>
        <w:spacing w:after="0" w:line="10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Organizational structure</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120" w:right="40"/>
        <w:spacing w:after="0" w:line="264" w:lineRule="auto"/>
        <w:rPr>
          <w:sz w:val="20"/>
          <w:szCs w:val="20"/>
          <w:color w:val="auto"/>
        </w:rPr>
      </w:pPr>
      <w:r>
        <w:rPr>
          <w:rFonts w:ascii="Arial" w:cs="Arial" w:eastAsia="Arial" w:hAnsi="Arial"/>
          <w:sz w:val="16"/>
          <w:szCs w:val="16"/>
          <w:color w:val="auto"/>
        </w:rPr>
        <w:t>MediaAlpha, Inc. was incorporated as a Delaware corporation on July 9, 2020. In connection with the completion of the IPO, we completed a reorganization (the “IPO reorganization”), pursuant to which we amended and restated our certificate of incorporation to, among other things, authorize two classes of common stock, Class A common stock and Class B common stock, each having the terms described under “Description of capital stock,” and consummated the other reorganization transactions described below. In addition, pursuant to the IPO reorganization, we issued shares of our Class B common stock to Insignia and the Senior Executives. Insignia and the Senior Executives directly or indirectly own the Class B-1 units of QL Holdings LLC. Shares of our Class B common stock vote together with shares of our Class A common stock as a single class, except as otherwise required by law or pursuant to our amended and restated certificate of incorporation or amended and restated bylaws. See “Description of capital stock—Class B common stock.” After completion of this offering, White Mountains, Insignia, and the Senior Executives (who were the direct and indirect investors of QL Holdings LLC prior to the IPO) will</w:t>
      </w:r>
    </w:p>
    <w:p>
      <w:pPr>
        <w:spacing w:after="0" w:line="1"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beneficially own % in the aggregate of our outstanding Class A common stock and Class B common stock on a combined basis (assuming no exercise of the over-allotment option by the underwriters). As described in more detail below, each Class B-1 unit of QL Holdings LLC can be exchanged (together with one share of our Class B common stock) for one share of our Class A common stock (or, at our election, cash of an equivalent value) and is otherwise non-transferrable.</w:t>
      </w:r>
    </w:p>
    <w:p>
      <w:pPr>
        <w:spacing w:after="0" w:line="100"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There will be shares of our Class A common stock outstanding after this offering. These shares will represent 100% of the economic rights of the holders of all classes of our capital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IPO Reorganization Transactions</w:t>
      </w:r>
    </w:p>
    <w:p>
      <w:pPr>
        <w:spacing w:after="0" w:line="134" w:lineRule="exact"/>
        <w:rPr>
          <w:sz w:val="20"/>
          <w:szCs w:val="20"/>
          <w:color w:val="auto"/>
        </w:rPr>
      </w:pPr>
    </w:p>
    <w:p>
      <w:pPr>
        <w:ind w:left="120" w:right="340"/>
        <w:spacing w:after="0" w:line="236" w:lineRule="auto"/>
        <w:rPr>
          <w:sz w:val="20"/>
          <w:szCs w:val="20"/>
          <w:color w:val="auto"/>
        </w:rPr>
      </w:pPr>
      <w:r>
        <w:rPr>
          <w:rFonts w:ascii="Arial" w:cs="Arial" w:eastAsia="Arial" w:hAnsi="Arial"/>
          <w:sz w:val="18"/>
          <w:szCs w:val="18"/>
          <w:color w:val="auto"/>
        </w:rPr>
        <w:t>MediaAlpha, Inc. was formed for purposes of the IPO and had, prior to the consummation of the IPO, engaged only in activities in contemplation of the IPO. Historically, our business has been operated through QL Holdings LLC, together with its subsidiaries, all of the equity ownership interests of which were directly or indirectly held by White Mountains (through its wholly owned subsidiary Intermediate Holdco), Insignia, the Senior Executives and the Legacy Profits Interest Holders prior to the completion of the IPO. None of these owners consolidated QL Holdings LLC immediately prior to the IPO reorganization.</w:t>
      </w:r>
    </w:p>
    <w:p>
      <w:pPr>
        <w:spacing w:after="0" w:line="103"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Prior to the IPO, QuoteLab, LLC entered into the 2020 Term Loan Facility, a portion of the proceeds of which were distributed to QL Holdings LLC, which in turn distributed such 2020 Term Loan Facility proceeds to members of QL Holdings LLC (such distribution to the QL Holdings LLC members the “Pre-IPO Leveraged Distribution”). Additionally, prior to the IPO, White Mountains caused Intermediate Holdco to distribute or otherwise dispose of all of its assets other than the Class A-1 units of QL Holdings LLC held directly by Intermediate Holdco and certain deferred tax assets and liabilities, and thereafter, MediaAlpha, Inc., QL Holdings LLC, White Mountains, Intermediate Holdco, the Legacy Profits Interest Holders and the other members of QL Holdings LLC consummated a series of reorganization transactions set forth in the reorganization agreement. Pursuant to the reorganization agreement, White Mountains contributed all of the outstanding capital stock of Intermediate Holdco to MediaAlpha, Inc. in exchange for shares of our Class A common stock and the right to certain payments under the tax receivables agreement, such that Intermediate Holdco became a wholly owned subsidiary of MediaAlpha, Inc. Also pursuant to the reorganization agreement, the limited liability company agreement of QL Holdings LLC was amended and restated to, among other things, convert all of the equity interests held by Intermediate Holdco into Class A-1 units of QL Holdings LLC and convert all of the equity interests held by Insignia, the Senior Executives, and the Legacy Profits Interest Holders into Class B-1 units of QL Holdings LLC. The Legacy Profits Interest Holders contributed a portion of the Class B-1 units of QL Holdings LLC they held to MediaAlpha, Inc. in exchange for shares</w:t>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of Class A common stock of MediaAlpha, Inc., and MediaAlpha, Inc. then contributed these Class B-1 units to Intermediate Holdco. Insignia and the Senior Executives contributed a certain amount of cash to MediaAlpha, Inc. in exchange for shares of our Class B common stock. Certain Class B-1 units of QL Holdings LLC held by the Selling Class B-1 Unit Holders were purchased by the Company (through Intermediate Holdco) immediately after the IPO, with proceeds from the IPO, to provide liquidity to such Selling Class B-1 Unit Holders. MediaAlpha, Inc. is a holding company and its sole material asset is all of the shares of its wholly owned subsidiary, Intermediate Holdco, which in turn owns all of the Class A-1 units of QL Holdings LLC, deferred tax assets and liabilities primarily related to Intermediate Holdco’s historical net operating loss carryforwards attributable to periods prior to the IPO, and an indemnity from White Mountains with respect to any pre-IPO liabilities of Intermediate Holdco.</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Organizational structure</w:t>
      </w:r>
    </w:p>
    <w:p>
      <w:pPr>
        <w:spacing w:after="0" w:line="134"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The diagram below shows our organizational structure immediately after the completion of the offering described herein (assuming no exercise by the underwriters of their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130810</wp:posOffset>
            </wp:positionV>
            <wp:extent cx="4551680" cy="40633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5168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320" w:top="459" w:right="5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White Mountains and our public stockholders will indirectly own % and %, respectively, of the economic interests in QL Holdings LLC through MediaAlpha, Inc. and Intermediate Holdco (or % and %, respectively, if the underwriters exercise their option to purchase additional shares of Class A common stock in full). Insignia will directly own % of the economic interests in QL Holdings LLC (or % if the underwriters exercise their option to purchase additional shares of Class A common stock in full), and the Senior Executives will directly or indirectly own % of the economic interests in QL Holdings LLC (or % if the underwriters exercise their option to purchase additional shares of Class A common stock in full).</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Holding company structure</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only business is acting as the sole stockholder of Intermediate Holdco and, through Intermediate Holdco, acting as sole managing member of QL Holdings LLC. We operate and control all of our businesses and affairs through Intermediate Holdco and QL Holdings LLC (and its subsidiaries). In connection with the IPO reorganization, QL Holdings LLC’s limited liability company agreement was amended and restated to, among other things, establish two classes of equity: Class A-1 units indirectly held by us and Class B-1 units held only by persons or entities we permit which, immediately following the IPO, included Insignia and the Senior Executives. The financial results of Intermediate Holdco and QL Holdings LLC are consolidated in our financial statements.</w:t>
      </w:r>
    </w:p>
    <w:p>
      <w:pPr>
        <w:spacing w:after="0" w:line="102"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Our organizational structure allows the Senior Executives and Insignia to retain their equity ownership (either directly or indirectly) in QL Holdings LLC, an entity that is classified as a partnership for U.S. federal income tax purposes, in the form of Class B-1 units. The investors participating in this offering will, by contrast, hold equity in MediaAlpha, Inc., a Delaware corporation that is a domestic corporation for U.S. federal income tax purposes, in the form of shares of our Class A common stock. Additionally, because the Senior Executives and Insignia may exchange their Class B-1 units of QL Holdings LLC (together with the corresponding shares of our Class B common stock) for shares of our Class A common stock (or, at our election, cash of an equivalent value), our structure provides the Senior Executives and Insignia with potential liquidity that holders of non-publicly traded limited liability companies are not typically afforded.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Fourth amended and restated limited liability company agreement of QL Holdings LLC</w:t>
      </w:r>
    </w:p>
    <w:p>
      <w:pPr>
        <w:spacing w:after="0" w:line="134"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We operate our business through QL Holdings LLC, together with its subsidiaries. The operations of QL Holdings LLC, and the rights and obligations of its members, are governed by the fourth amended and restated limited liability company agreement of QL Holdings LLC. The following is a description of the material terms of the fourth amended and restated limited liability company agreement.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w:t>
      </w:r>
    </w:p>
    <w:p>
      <w:pPr>
        <w:spacing w:after="0" w:line="12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Through our wholly owned subsidiary, Intermediate Holdco, we serve as sole managing member of QL Holdings LLC. As such, we control its business and affairs and are responsible for the management of its business. No other members of QL Holdings LLC, in their capacity as such, have any authority or right to control the management of QL Holdings LLC or to bind it in connection with any matter.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124"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QL Holdings LLC has two classes of outstanding equity: Class A-1 units, which may only be issued to our wholly owned subsidiary, Intermediate Holdco, as sole managing member, and Class B-1 units. We refer to these Class A-1 units and Class B-1 units of QL Holdings LLC, collectively, as QL units. Insignia and the Senior Executives hold Class B-1 Units. The Class A-1 units and Class B-1 units entitle their holders to equivalent</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economic rights, meaning an equal share in the profits and losses of, and distributions from, QL Holdings LLC. Holders of Class B-1 units have no voting rights as it pertains to QL Holdings LLC, except for the right to approve certain amendments to the fourth amended and restated limited liability company agreement.</w:t>
      </w:r>
    </w:p>
    <w:p>
      <w:pPr>
        <w:spacing w:after="0" w:line="82"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 xml:space="preserve">Net profits and losses of QL Holdings LLC generally will be allocated, and distributions will be made, to its members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number of QL units (Class A or Class B, as the case may be) they hold. Accordingly, after giving effect to this offering, net profits and</w:t>
      </w:r>
    </w:p>
    <w:p>
      <w:pPr>
        <w:spacing w:after="0" w:line="1"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net losses of QL Holdings LLC will initially be allocated, and distributions will be made, approximately % to us and approximately % to the holders of Class B-1 units (or % and %, respectively, if the underwriters exercise their option to purchase additional shares in full).</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Subject to the availability of net cash flow at the QL Holdings LLC level and to applicable legal and contractual restrictions, we intend to cause QL Holdings LLC to distribute to Intermediate Holdco cash payments (and, if applicable, cause Intermediate Holdco to declare and pay a dividend to us in the same amount) for the purposes of funding tax obligations in respect of any net taxable income that is allocated to us as a member of QL Holdings LLC, to fund dividends, if any, declared by us and to make any payments due under the tax receivables agreement, as described below. See “—Tax consequences.” QL Holdings LLC will be required to make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to each other member of QL Holdings LLC, as and when QL Holdings LLC makes any distribution to Intermediate Holdco. Regardless of whether QL Holdings LLC makes distributions to its members in any given year, the determination to pay dividends, if any, to holders of our Class A common stock will be made by our board of directors. We do not, however, expect to declare or pay any cash or other dividends in the foreseeable future on our Class A common stock, as we intend to reinvest any cash flow generated by operations in our business. Class B common stock will not be entitled to any dividend payments.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Coordination of MediaAlpha, Inc. and QL Holdings LLC</w:t>
      </w:r>
    </w:p>
    <w:p>
      <w:pPr>
        <w:spacing w:after="0" w:line="124" w:lineRule="exact"/>
        <w:rPr>
          <w:sz w:val="20"/>
          <w:szCs w:val="20"/>
          <w:color w:val="auto"/>
        </w:rPr>
      </w:pPr>
    </w:p>
    <w:p>
      <w:pPr>
        <w:ind w:left="120" w:right="60"/>
        <w:spacing w:after="0" w:line="267" w:lineRule="auto"/>
        <w:rPr>
          <w:sz w:val="20"/>
          <w:szCs w:val="20"/>
          <w:color w:val="auto"/>
        </w:rPr>
      </w:pPr>
      <w:r>
        <w:rPr>
          <w:rFonts w:ascii="Arial" w:cs="Arial" w:eastAsia="Arial" w:hAnsi="Arial"/>
          <w:sz w:val="16"/>
          <w:szCs w:val="16"/>
          <w:color w:val="auto"/>
        </w:rPr>
        <w:t>Whenever we issue one share of Class A common stock for cash, the net proceeds will be promptly contributed to Intermediate Holdco and then in turn to QL Holdings LLC, in exchange for one Class A-1 unit of QL Holdings LLC. Alternatively, from time to time, we may, at our election, transfer the net proceeds of the issuance of shares of Class A common stock to a holder of Class B-1 units of QL Holdings LLC in exchange for their Class B-1 unit and a share of our Class B common stock in order to satisfy our obligations under the exchange agreement (in lieu of issuing a share of Class A common stock to such exchanging Class B-1 unitholder). However, the Class B-1 unitholders cannot require us to pay cash for their Class B-1 units under the exchange agreement. In the event we elect to pay cash for a Class B-1 unit, QL Holdings LLC will cancel such exchanged Class B-1 unit and issue to Intermediate Holdco one Class A-1 unit. If we issue other classes or series of equity securities, we will contribute to Intermediate Holdco, and then in turn to QL Holdings LLC, the net proceeds we receive in connection with such issuance, and QL Holdings LLC will issue to Intermediate Holdco an equal number of equity securities with designations, preferences and other rights and terms that are substantially the same as our newly issued equity securities. Conversely, if we repurchase any shares of Class A common stock (or equity securities of other classes or series) for cash, QL Holdings LLC will, immediately prior to our repurchase, redeem an equal number of Class A-1 units (or its equity securities of the corresponding classes or series), upon the same terms and for the same price, as the shares of our Class A common stock (or our equity securities of such other classes or series) that are repurchased. Common units and shares of our common stock will be subject to equivalent stock splits, dividends and reclassifications.</w:t>
      </w:r>
    </w:p>
    <w:p>
      <w:pPr>
        <w:spacing w:after="0" w:line="282"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We do not conduct any business other than the management and ownership of QL Holdings LLC through our wholly owned subsidiary, Intermediate Holdco, or own any other material assets (other than on a temporary basis), although we may take such actions and own such assets as are necessary to comply with applicable law, including compliance with our responsibilities as a public company under the U.S. federal securities laws, and may incur indebtedness and take other actions if we determine that doing so is in our best interest.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Class A-1 and Class B-1 units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Class A-1 units may be issued only to our wholly owned subsidiary, Intermediate Holdco, as sole managing member of QL Holdings LLC. Class B-1 units may be issued only to persons or entities we permit, which immediately following the completion of the IPO, included Insignia and the Senior Executives. Such issuances shall be made in exchange for cash or other consideration. Class B-1 units may not be transferred as Class B-1 units except to certain permitted transferees and in accordance with the restrictions on transfer set forth in the fourth amended and restated limited liability company agreement of QL Holdings LLC. Any such transfer must be accompanied by the transfer of an equal number of shares of our Class B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Immediately prior to the completion of the IPO, we entered into the exchange agreement with Insignia and the Senior Executives, which each hold Class B-1 units. Pursuant to and subject to the terms of the exchange agreement and the fourth amended and restated limited liability company agreement of QL Holdings LLC, holders of Class B-1 units, from time to time, may exchange one Class B-1 unit, together with the corresponding share of our Class B common stock, for one share of our Class A common stock (or, at our election, cash of an equivalent value).</w:t>
      </w:r>
    </w:p>
    <w:p>
      <w:pPr>
        <w:spacing w:after="0" w:line="103"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Exchanges pursuant to the exchange agreement may be completed, unless otherwise directed by the holder of Class B-1 units, at the election of QL Holdings LLC, by us, Intermediate Holdco, or QL Holdings LLC. If Intermediate Holdco completes such exchange, we will contribute Class A common stock to Intermediate Holdco prior to the exchange. If QL Holdings completes such exchange, we will contribute Class A common stock to Intermediate Holdco and then in turn to QL Holdings LLC prior to the exchange. The amount of Class A common stock issued or conveyed will be subject to customary conversion rate adjustments for stock splits, stock dividends and reclassifications and other similar transactions.</w:t>
      </w:r>
    </w:p>
    <w:p>
      <w:pPr>
        <w:spacing w:after="0" w:line="80"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Holders will not have the right to exchange Class B</w:t>
      </w:r>
      <w:r>
        <w:rPr>
          <w:rFonts w:ascii="Arial" w:cs="Arial" w:eastAsia="Arial" w:hAnsi="Arial"/>
          <w:sz w:val="18"/>
          <w:szCs w:val="18"/>
          <w:b w:val="1"/>
          <w:bCs w:val="1"/>
          <w:color w:val="auto"/>
        </w:rPr>
        <w:t>-1</w:t>
      </w:r>
      <w:r>
        <w:rPr>
          <w:rFonts w:ascii="Arial" w:cs="Arial" w:eastAsia="Arial" w:hAnsi="Arial"/>
          <w:sz w:val="18"/>
          <w:szCs w:val="18"/>
          <w:color w:val="auto"/>
        </w:rPr>
        <w:t xml:space="preserve"> units if we determine that such exchange would be prohibited by applicable law or regulation or would violate other agreements to which we may be subject or would pose a material risk that QL Holdings LLC would be treated as a “publicly traded partnership” for U.S. federal income tax purposes. If the IRS were to contend successfully that QL Holdings LLC should be treated as a “publicly traded partnership” for U.S. federal income tax purposes, QL Holdings LLC would be treated as a corporation for U.S. federal income tax purposes and thus would be subject to entity-level tax on its taxable income.</w:t>
      </w:r>
    </w:p>
    <w:p>
      <w:pPr>
        <w:spacing w:after="0" w:line="99"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 holder that exchanges Class B-1 units will also be required to deliver an equal number of shares of our Class B common stock. In connection with each exchange, QL Holdings LLC will cancel the delivered Class B-1 units and (unless, at our election, cash of an equivalent value is delivered in lieu of Class A common stock) issue Class A-1 units to Intermediate Holdco on a one-for-one basis. Thus, as holders exchange their Class B-1 units for Class A common stock or cash, our indirect interest in QL Holdings LLC will increase.</w:t>
      </w:r>
    </w:p>
    <w:p>
      <w:pPr>
        <w:spacing w:after="0" w:line="100" w:lineRule="exact"/>
        <w:rPr>
          <w:sz w:val="20"/>
          <w:szCs w:val="20"/>
          <w:color w:val="auto"/>
        </w:rPr>
      </w:pPr>
    </w:p>
    <w:p>
      <w:pPr>
        <w:ind w:left="120" w:right="260"/>
        <w:spacing w:after="0" w:line="299" w:lineRule="auto"/>
        <w:rPr>
          <w:sz w:val="20"/>
          <w:szCs w:val="20"/>
          <w:color w:val="auto"/>
        </w:rPr>
      </w:pPr>
      <w:r>
        <w:rPr>
          <w:rFonts w:ascii="Arial" w:cs="Arial" w:eastAsia="Arial" w:hAnsi="Arial"/>
          <w:sz w:val="16"/>
          <w:szCs w:val="16"/>
          <w:color w:val="auto"/>
        </w:rPr>
        <w:t>We and the exchanging holder will each generally bear our own expenses in connection with an exchange, except that, subject to a limited exception, we are required to pay any transfer taxes, stamp taxes or duties or other similar taxes in connection with such an exchange.</w:t>
      </w:r>
    </w:p>
    <w:p>
      <w:pPr>
        <w:spacing w:after="0" w:line="55" w:lineRule="exact"/>
        <w:rPr>
          <w:sz w:val="20"/>
          <w:szCs w:val="20"/>
          <w:color w:val="auto"/>
        </w:rPr>
      </w:pPr>
    </w:p>
    <w:p>
      <w:pPr>
        <w:ind w:left="120" w:right="380"/>
        <w:spacing w:after="0" w:line="264" w:lineRule="auto"/>
        <w:rPr>
          <w:sz w:val="20"/>
          <w:szCs w:val="20"/>
          <w:color w:val="auto"/>
        </w:rPr>
      </w:pPr>
      <w:r>
        <w:rPr>
          <w:rFonts w:ascii="Arial" w:cs="Arial" w:eastAsia="Arial" w:hAnsi="Arial"/>
          <w:sz w:val="16"/>
          <w:szCs w:val="16"/>
          <w:color w:val="auto"/>
        </w:rPr>
        <w:t>We have reserved for issuance 26,305,147 shares of our Class A common stock for potential exchange in the future for Class B-1 units, which is the aggregate number of Class B common stock outstanding after completion of the IPO reorganization and the IPO. Prior to the</w:t>
      </w:r>
    </w:p>
    <w:p>
      <w:pPr>
        <w:ind w:left="120" w:right="80"/>
        <w:spacing w:after="0" w:line="238" w:lineRule="auto"/>
        <w:rPr>
          <w:sz w:val="20"/>
          <w:szCs w:val="20"/>
          <w:color w:val="auto"/>
        </w:rPr>
      </w:pPr>
      <w:r>
        <w:rPr>
          <w:rFonts w:ascii="Arial" w:cs="Arial" w:eastAsia="Arial" w:hAnsi="Arial"/>
          <w:sz w:val="18"/>
          <w:szCs w:val="18"/>
          <w:color w:val="auto"/>
        </w:rPr>
        <w:t>completion of this offering, we expect Insignia and any Senior Executive named herein as a selling stockholder to exchange Class B-1 units for an equivalent number of shares of Class A common stock (or if the underwriters’ option to purchase additional shares is exercised in full).</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Exculpation and indemnification</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fourth amended and restated limited liability company agreement of QL Holdings LLC contains provisions limiting the liability of QL Holdings LLC’s members (including Intermediate Holdco, our wholly owned subsidiary), officers and their respective affiliates to QL Holdings LLC or any of its members. Moreover, the fourth amended and restated limited liability company agreement contains broad indemnification provisions for QL Holdings LLC’s members (including Intermediate Holdco, our wholly owned subsidiary), officers and their respective affiliates. Because QL Holdings LLC is a limited liability company, these provisions are not subject to the limitations on exculpation and indemnification contained in the DGCL with respect to the indemnification that may be provided by a Delaware corporation to its directors and officers.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 of Class A stockholders and Class B stockholders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share of our Class A common stock or our Class B common stock will entitle its holder to one vote. Immediately after this offering, our</w:t>
      </w:r>
    </w:p>
    <w:p>
      <w:pPr>
        <w:spacing w:after="0" w:line="19"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Class B stockholders will collectively hold approximately % of the total voting power of our common stock (or % if the underwriters exercise their option to purchase additional shares in full).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consequences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QL Holdings LLC unitholders, including us (indirectly through Intermediate Holdco), generally incur U.S. federal, state and local income taxes on their allocable shares of any net taxable income of QL Holdings LLC. The fourth amended and restated limited liability company agreement of QL Holdings LLC provides for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cash distributions to its members to cover (i) our U.S. federal, state and local tax obligations in respect of our allocable share of QL Holdings LLC’s taxable income and (ii) our obligations under the tax receivables agreement. In addition, the fourth amended and restated limited liability company agreement of QL Holdings LLC also provides for (in certain cases) tax distributions for a fiscal quarter to its other members in respect of their pre-exchange allocable share of QL Holdings LLC’s taxable income for such fiscal quarter relating to Class B-1 Units (if any) transferred to us by them (pursuant to the exchange agreement) before the applicable tax distribution date.</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QL Holdings LLC intends that an election under Section 754 of the U.S. Internal Revenue Code of 1986, as amended (the “Code”), will be</w:t>
      </w:r>
    </w:p>
    <w:p>
      <w:pPr>
        <w:ind w:left="120"/>
        <w:spacing w:after="0" w:line="234" w:lineRule="auto"/>
        <w:rPr>
          <w:sz w:val="20"/>
          <w:szCs w:val="20"/>
          <w:color w:val="auto"/>
        </w:rPr>
      </w:pPr>
      <w:r>
        <w:rPr>
          <w:rFonts w:ascii="Arial" w:cs="Arial" w:eastAsia="Arial" w:hAnsi="Arial"/>
          <w:sz w:val="18"/>
          <w:szCs w:val="18"/>
          <w:color w:val="auto"/>
        </w:rPr>
        <w:t>effective for 2020 and future taxable years. We expect that, as a result of this election, our purchase (through Intermediate Holdco)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B-1 units of QL Holdings LLC in connection with the IPO, as well as any post-IPO exchanges (including in connection with this offering)</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Class B-1 units of QL Holdings LLC, together with an equal number of shares of our Class B common stock, for shares of our Class A</w:t>
      </w:r>
    </w:p>
    <w:p>
      <w:pPr>
        <w:ind w:left="120"/>
        <w:spacing w:after="0"/>
        <w:rPr>
          <w:sz w:val="20"/>
          <w:szCs w:val="20"/>
          <w:color w:val="auto"/>
        </w:rPr>
      </w:pPr>
      <w:r>
        <w:rPr>
          <w:rFonts w:ascii="Arial" w:cs="Arial" w:eastAsia="Arial" w:hAnsi="Arial"/>
          <w:sz w:val="16"/>
          <w:szCs w:val="16"/>
          <w:color w:val="auto"/>
        </w:rPr>
        <w:t>common stock (or, at our election, cash of an equivalent value), will increase our share of the tax basis of the tangible and intangible assets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QL Holdings LLC, which will increase the tax depreciation and amortization deductions available to us and could create other tax benefits.</w:t>
      </w:r>
    </w:p>
    <w:p>
      <w:pPr>
        <w:ind w:left="120"/>
        <w:spacing w:after="0"/>
        <w:rPr>
          <w:sz w:val="20"/>
          <w:szCs w:val="20"/>
          <w:color w:val="auto"/>
        </w:rPr>
      </w:pPr>
      <w:r>
        <w:rPr>
          <w:rFonts w:ascii="Arial" w:cs="Arial" w:eastAsia="Arial" w:hAnsi="Arial"/>
          <w:sz w:val="16"/>
          <w:szCs w:val="16"/>
          <w:color w:val="auto"/>
        </w:rPr>
        <w:t>This existing and increased tax basis may also decrease gain (or increase loss) on future dispositions of certain assets to the extent tax basis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 allocated to those assets.</w:t>
      </w:r>
    </w:p>
    <w:p>
      <w:pPr>
        <w:spacing w:after="0" w:line="1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Any such deductions or other tax benefits (including additional tax benefits created as a result of payments under the tax receivables agreement itself) could reduce the amount of cash taxes that we would otherwise be required to pay in the future. We will be required to pay 85% of such cash tax reduction, if any, to the tax receivables agreement’s counterparties. To the extent that we are unable to make payments under the tax receivables agreement for any reason, such payments will be deferred and will accrue interest until paid. See “—Tax receivables agreement.”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receivables agreement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obtain an increase in our share of the tax basis of the tangible and intangible assets of QL Holdings LLC as a result of (i) our</w:t>
      </w:r>
    </w:p>
    <w:p>
      <w:pPr>
        <w:ind w:left="120"/>
        <w:spacing w:after="0"/>
        <w:rPr>
          <w:sz w:val="20"/>
          <w:szCs w:val="20"/>
          <w:color w:val="auto"/>
        </w:rPr>
      </w:pPr>
      <w:r>
        <w:rPr>
          <w:rFonts w:ascii="Arial" w:cs="Arial" w:eastAsia="Arial" w:hAnsi="Arial"/>
          <w:sz w:val="16"/>
          <w:szCs w:val="16"/>
          <w:color w:val="auto"/>
        </w:rPr>
        <w:t>purchase (through Intermediate Holdco) of Class B-1 units of QL Holdings LLC units from certain unitholders (including the Selling Class B-1</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Unit Holders) in connection with the IPO, (ii) certain post-IPO exchanges (including in connection with this offering) of Class B-1 units of</w:t>
      </w:r>
    </w:p>
    <w:p>
      <w:pPr>
        <w:ind w:left="120"/>
        <w:spacing w:after="0"/>
        <w:rPr>
          <w:sz w:val="20"/>
          <w:szCs w:val="20"/>
          <w:color w:val="auto"/>
        </w:rPr>
      </w:pPr>
      <w:r>
        <w:rPr>
          <w:rFonts w:ascii="Arial" w:cs="Arial" w:eastAsia="Arial" w:hAnsi="Arial"/>
          <w:sz w:val="16"/>
          <w:szCs w:val="16"/>
          <w:color w:val="auto"/>
        </w:rPr>
        <w:t>QL Holdings LLC, together with an equal number of shares of our Class B common stock, for shares of our Class A common stock (or, at our</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election, cash of an equivalent value), and (iii) the Pre-IPO Leveraged Distribution and other actual or deemed distributions by QL Holdings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LLC to its members. These increases in tax basis are expected to increase (for tax purposes) our depreciation and amortization deductions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create other tax benefits and therefore may reduce the amount of cash taxes that we would otherwise be required to pay in the future.</w:t>
      </w:r>
    </w:p>
    <w:p>
      <w:pPr>
        <w:ind w:left="120"/>
        <w:spacing w:after="0"/>
        <w:rPr>
          <w:sz w:val="20"/>
          <w:szCs w:val="20"/>
          <w:color w:val="auto"/>
        </w:rPr>
      </w:pPr>
      <w:r>
        <w:rPr>
          <w:rFonts w:ascii="Arial" w:cs="Arial" w:eastAsia="Arial" w:hAnsi="Arial"/>
          <w:sz w:val="16"/>
          <w:szCs w:val="16"/>
          <w:color w:val="auto"/>
        </w:rPr>
        <w:t>This existing and increased tax basis may also decrease gain (or increase loss) on future dispositions of certain assets to the extent tax basis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 allocated to those assets. We expect to treat any such exchanges of Class B-1 units of QL Holdings LLC as our direct purchases of</w:t>
      </w:r>
    </w:p>
    <w:p>
      <w:pPr>
        <w:ind w:left="120"/>
        <w:spacing w:after="0" w:line="234" w:lineRule="auto"/>
        <w:rPr>
          <w:sz w:val="20"/>
          <w:szCs w:val="20"/>
          <w:color w:val="auto"/>
        </w:rPr>
      </w:pPr>
      <w:r>
        <w:rPr>
          <w:rFonts w:ascii="Arial" w:cs="Arial" w:eastAsia="Arial" w:hAnsi="Arial"/>
          <w:sz w:val="18"/>
          <w:szCs w:val="18"/>
          <w:color w:val="auto"/>
        </w:rPr>
        <w:t>Class B-1 units from holders of Class B-1 units for U.S. federal income and other applicable tax purposes, regardless of whether such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B-1 units are surrendered by such holders to QL Holdings LLC or to us directly in the exchange. See “—Fourth amended and restated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limited liability company agreement of QL Holdings LLC—Tax consequences.”</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connection with the IPO, we entered into the tax receivables agreement with Insignia, the Senior Executives, and White Mountains related to the tax basis step-up of the assets of QL Holdings LLC and certain net operating losses of Intermediate Holdco. The agreement requires us to pay Insignia and the Senior Executives 85% of the cash savings, if any, in U.S. federal, state and local income tax we realize (or are deemed to realize) as a result of (i) any increases in tax basis following our purchase (through Intermediate Holdco) of Class B-1 units of QL Holdings LLC from certain unitholders (including the Selling Class B-1 Unit Holders) in connection with the IPO, as well as any post-IPO exchanges (including in connection with this offering) described above, (ii) the Pre-IPO Leveraged Distribution and other actual or deemed distributions by QL Holdings LLC to its members that result in tax basis adjustments to the assets of QL Holdings LLC, and (iii) certain other tax benefits attributable to payments under the tax receivables agreement itself.</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 We currently estimate that the amount of any such net operating losses is immaterial.</w:t>
      </w:r>
    </w:p>
    <w:p>
      <w:pPr>
        <w:spacing w:after="0" w:line="100"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obligations under the tax receivables agreement are our obligations and not obligations of QL Holdings LLC. We will benefit from the remaining 15% of any realized (or deemed to be realized) cash tax savings. For purposes of the tax receivables agreement, cash savings in income tax will be computed by comparing our actual income tax liability with our hypothetical liability had we not been able to use the tax benefits subject to the applicable tax receivables agreement. The tax receivables agreement will remain in effect until all such tax benefits have been used or expired, unless the agreement is terminated early, as described below.</w:t>
      </w:r>
    </w:p>
    <w:p>
      <w:pPr>
        <w:spacing w:after="0" w:line="10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actual increase in tax basis, as well as the amount and timing of any payments under the tax receivables agreement, will vary depending on a number of factors, including:</w:t>
      </w:r>
    </w:p>
    <w:p>
      <w:pPr>
        <w:spacing w:after="0" w:line="114" w:lineRule="exact"/>
        <w:rPr>
          <w:sz w:val="20"/>
          <w:szCs w:val="20"/>
          <w:color w:val="auto"/>
        </w:rPr>
      </w:pPr>
    </w:p>
    <w:p>
      <w:pPr>
        <w:ind w:left="340" w:right="40" w:hanging="224"/>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fair market value of the depreciable and amortizable assets of QL Holdings LLC and the price of our Class A common stock at the time of this offering and at the time of the exchange of Class B-1 units of QL Holdings LLC;</w:t>
      </w:r>
    </w:p>
    <w:p>
      <w:pPr>
        <w:spacing w:after="0" w:line="114" w:lineRule="exact"/>
        <w:rPr>
          <w:rFonts w:ascii="Arial" w:cs="Arial" w:eastAsia="Arial" w:hAnsi="Arial"/>
          <w:sz w:val="18"/>
          <w:szCs w:val="18"/>
          <w:color w:val="auto"/>
        </w:rPr>
      </w:pPr>
    </w:p>
    <w:p>
      <w:pPr>
        <w:ind w:left="340" w:right="660" w:hanging="224"/>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such exchange of Class B-1 units of QL Holdings LLC is taxable—if an exchange is not taxable for any reason, increased tax deductions will not be available;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tax rates in effect at the time we use the increased amortization and depreciation deductions or realize other tax benefits;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character and timing of our taxable income.</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are required under the tax receivables agreement to pay 85% of the cash tax savings, described above, if any, as they are realized (or are deemed to be realized). Except in certain circumstances, if in a given taxable year we do not have taxable income before taking into account any tax benefits subject to the tax receivables agreement, we will not be required to make payments under the tax receivables agreement for that taxable year because no tax savings will have been realized (or are deemed to be realized).</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The payments that we make under the tax receivables agreement could be substantial. Assuming no material changes in relevant tax law and based on our current operating plan and other assumptions, including our estimate of the tax basis of our assets as of October 27, 2020, if all of the Class B-1 units of QL Holdings LLC were acquired by us in taxable transactions on December 31, 2020 for a price of $39.07 (which is the last reported sale price of our Class A common stock as of December 31, 2021 on the NYSE) per Class B-1 unit of QL Holdings LLC, we estimate that the amount that we would be required to pay under the tax receivables agreement could be approximately $293 million. The actual amount we will be required to pay under the tax receivables agreement may be materially greater than this hypothetical amount, as potential future payments will vary depending on a number of factors, including those listed above. There may be a material negative effect on our liquidity if, as a result of timing discrepancies or otherwise, the payments under the tax receivables agreement exceed the actual cash tax benefits that we realize in respect of the tax attributes subject to the tax receivables agreement or distributions to us by QL Holdings LLC are not sufficient to permit us to make payments under the tax receivables agreement after it has paid taxes. Payments under the tax receivables agreement are not conditioned on Insignia’s, the Senior Executives</w:t>
      </w:r>
      <w:r>
        <w:rPr>
          <w:rFonts w:ascii="Arial" w:cs="Arial" w:eastAsia="Arial" w:hAnsi="Arial"/>
          <w:sz w:val="16"/>
          <w:szCs w:val="16"/>
          <w:b w:val="1"/>
          <w:bCs w:val="1"/>
          <w:color w:val="auto"/>
        </w:rPr>
        <w:t>’</w:t>
      </w:r>
      <w:r>
        <w:rPr>
          <w:rFonts w:ascii="Arial" w:cs="Arial" w:eastAsia="Arial" w:hAnsi="Arial"/>
          <w:sz w:val="16"/>
          <w:szCs w:val="16"/>
          <w:color w:val="auto"/>
        </w:rPr>
        <w:t>, or White Mountains’ continued ownership of any of our equity.</w:t>
      </w:r>
    </w:p>
    <w:p>
      <w:pPr>
        <w:spacing w:after="0" w:line="84"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Payments under the tax receivables agreement are generally due within a specified period of time following the filing of our tax return for the taxable year with respect to which the payment obligation arises, but interest on such payments will begin to accrue at a rate of LIBOR plus 100 basis points from the due date (without extensions) of such tax return. Late payments will generally accrue interest at a rate of LIBOR plus 500 basis points.</w:t>
      </w:r>
    </w:p>
    <w:p>
      <w:pPr>
        <w:spacing w:after="0" w:line="100"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The tax receivables agreement provides that upon certain changes of control, or if, at any time, we elect an early termination of the tax receivables agreement or are in material breach of our obligations under the tax receivables agreement, we would be required to make immediate payments to the tax receivables agreement’s counterparties equal to the present value of the anticipated future tax benefits. Such payment would be based on certain valuation assumptions and deemed events set forth in the tax receivables agreement, including the assumptions that we have sufficient taxable income to fully use such tax benefits. The benefits would be payable even though, in certain circumstances, no Class B-1 units of QL Holdings LLC have actually been exchanged and no net operating losses are actually used at the time of the accelerated payments. Accordingly, payments under the tax receivables agreement may be made years in advance of the actual realization, if any, of the anticipated tax benefits and may be significantly greater than the benefits we eventually realize.</w:t>
      </w:r>
    </w:p>
    <w:p>
      <w:pPr>
        <w:spacing w:after="0" w:line="7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Although we are not aware of any issue that would cause the IRS or other relevant tax authorities to challenge potential tax basis increases or other tax benefits covered by the tax receivables agreement, were the IRS to successfully challenge the tax basis increases, we would not be reimbursed for any payments previously made under the tax receivables agreement, but future payments under the tax receivables agreement, if any, would be netted against any unreimbursed payments to reflect the result of any such successful challenge by the IRS. As a result, we could make payments under the tax receivables agreement in excess of the actual cash tax</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savings we ultimately realize. We might not determine whether we have effectively made such excess cash payments for a number of years following the time of such payments.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 agreement</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connection with the IPO, we entered into the registration rights agreement with certain of our pre-IPO existing investors, including White Mountains, Insignia, and the Senior Executives, to register for sale under the Securities Act of 1933, as amended (“Securities Act”), shares of our Class A common stock, including those delivered in exchange for Class B-1 units of QL Holdings LLC in the circumstances described above. Subject to certain conditions and limitations, this agreement provides White Mountains, Insignia, and the Senior Executives with certain registration rights as described below. An aggregate of 47,455,745 shares of Class A common stock, including shares reserved for potential exchanges of Class B-1 units, are entitled to these registration rights.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Each of Insignia and the Founders (treating the Founders, collectively, as a single stockholder for this purpose) have the right to demand that we file up to two registration statements on Form S-1 and White Mountains has the right to demand that we file up to four registration statements on Form S-1. These registration rights are subject to specified conditions and limitations, including limitations on the number of shares included in any such registration under specified circumstances. Upon such a request, we will be required to use reasonable best efforts to effect the registration within 60 days.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Shelf registration rights</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At any time after we become eligible to file a registration statement on Form S-3, White Mountains, Insignia, and the Senior Executives will be entitled to have their shares of Class A common stock registered by us on a Form S-3 registration statement at our expense. These shelf registration rights are subject to specified conditions and limitations.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Piggyback registration rights</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we propose to register any shares of our equity securities under the Securities Act either for our own account or for the account of any other person, then White Mountains, Insignia, and the Senior Executives will be entitled to notice of the registration and will be entitled to include their shares of Class A common stock in the registration statement. These piggyback registration rights are subject to specified conditions and limitations, including the right of the underwriters, if any, to limit the number of shares included in any such registration under specified circumstances.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 and indemnification</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will pay all expenses relating to any demand, piggyback, or shelf registration, other than underwriting discounts and commissions and any transfer taxes, subject to specified conditions and limitations. The registration rights agreement will include customary indemnification provisions, including indemnification of the participating holders of shares of Class A common stock and their directors, officers, and employees by us for any losses, claims, damages, or liabilities in respect thereof and expenses to which such holders may become subject under the Securities Act, state law, or otherwise.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of registration rights</w:t>
      </w:r>
    </w:p>
    <w:p>
      <w:pPr>
        <w:spacing w:after="0" w:line="122"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The registration rights granted under the registration rights agreement will terminate upon the date the holders of shares that are a party thereto no longer hold any such shares that are entitled to registration rights.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Stockholders’ agreement</w:t>
      </w:r>
    </w:p>
    <w:p>
      <w:pPr>
        <w:spacing w:after="0" w:line="13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connection with the IPO, we entered into the stockholders’ agreement with White Mountains, Insignia, and the Founders. The stockholders’ agreement, as further described below, contains provisions related to the composition of our board of directors, the committees of our board of directors, and our corporate governance. Under the stockholders’ agreement, White Mountains, Insignia and the Founders are entitled to nominate a majority of the members of our board of directors. In addition, White Mountains, Insignia, and the Founders have agreed in the stockholders’ agreement to vote for each other’s board nominees.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b w:val="1"/>
          <w:bCs w:val="1"/>
          <w:i w:val="1"/>
          <w:iCs w:val="1"/>
          <w:color w:val="auto"/>
        </w:rPr>
        <w:t>designation and voting agreement</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Under the stockholders’ agreement, White Mountains, Insignia, and the Founders are entitled to nominate a majority of the members of our board of directors. Specifically, for so long as each of White Mountains, Insignia, and the Founders (treating the Founders, collectively, as a single stockholder for this purpose) owns at least 12.5% of our issued and outstanding shares of common stock as of the closing of this offering, such stockholder will be entitled to nominate two directors to serve on our Board of Directors. When such stockholder owns less than 12.5% but at least 5% of our issued and outstanding shares of common stock as of the closing of this offering, such stockholder will be entitled to nominate one director. White Mountains, Insignia, and the Founders have agreed in the stockholders’ agreement to vote for each other’s board nominees.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Consent </w:t>
      </w:r>
      <w:r>
        <w:rPr>
          <w:rFonts w:ascii="Arial" w:cs="Arial" w:eastAsia="Arial" w:hAnsi="Arial"/>
          <w:sz w:val="18"/>
          <w:szCs w:val="18"/>
          <w:b w:val="1"/>
          <w:bCs w:val="1"/>
          <w:i w:val="1"/>
          <w:iCs w:val="1"/>
          <w:color w:val="auto"/>
        </w:rPr>
        <w:t>rights</w:t>
      </w:r>
      <w:r>
        <w:rPr>
          <w:rFonts w:ascii="Arial" w:cs="Arial" w:eastAsia="Arial" w:hAnsi="Arial"/>
          <w:sz w:val="18"/>
          <w:szCs w:val="18"/>
          <w:i w:val="1"/>
          <w:iCs w:val="1"/>
          <w:color w:val="auto"/>
        </w:rPr>
        <w:t xml:space="preserve"> of White Mountains, Insignia</w:t>
      </w:r>
      <w:r>
        <w:rPr>
          <w:rFonts w:ascii="Arial" w:cs="Arial" w:eastAsia="Arial" w:hAnsi="Arial"/>
          <w:sz w:val="18"/>
          <w:szCs w:val="18"/>
          <w:b w:val="1"/>
          <w:bCs w:val="1"/>
          <w:i w:val="1"/>
          <w:iCs w:val="1"/>
          <w:color w:val="auto"/>
        </w:rPr>
        <w:t>, and the Founders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 the stockholders’ agreement and subject to our amended and restated certificate of incorporation, our amended and restated bylaws, and applicable law, the actions listed below cannot be taken by us or any of our subsidiaries without the written consent of a majority in interest of White Mountains, Insignia, and the Founders, for so long as such stockholders continue to own at least a majority of the issued and outstanding shares of common stock after the completion of this offering. The actions include:</w:t>
      </w:r>
    </w:p>
    <w:p>
      <w:pPr>
        <w:spacing w:after="0" w:line="114"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control transactions;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acquiring or disposing of assets or entering into joint ventures with a value in excess of $20 million;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incurring indebtedness in an aggregate principal amount in excess of $20 million;</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authorizing or issuing equity securities of MediaAlpha, Inc. or our subsidiaries other than pursuant to any approved equity incentive plans or arrangements or pursuant to the exchange agreement;</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initiating any liquidation, dissolution, bankruptcy, or other insolvency proceeding involving us or any of our significant subsidiaries;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any material change in the nature of the business conducted by us or our subsidiaries;</w:t>
      </w:r>
    </w:p>
    <w:p>
      <w:pPr>
        <w:spacing w:after="0" w:line="117"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terminating the employment of our Chief Executive Officer or hiring a new Chief Executive Officer (provided that consent of the Founders shall not be required for the termination of any Founder);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engaging in certain transactions with affiliates (provided that the consent of the interested stockholder would not be required);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increasing or decreasing the size of the Board of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Intermediate Holdco, as managing member of QL Holdings LLC, to approve or take certain actions; and</w:t>
      </w:r>
    </w:p>
    <w:p>
      <w:pPr>
        <w:spacing w:after="0" w:line="117" w:lineRule="exact"/>
        <w:rPr>
          <w:rFonts w:ascii="Arial" w:cs="Arial" w:eastAsia="Arial" w:hAnsi="Arial"/>
          <w:sz w:val="18"/>
          <w:szCs w:val="18"/>
          <w:color w:val="auto"/>
        </w:rPr>
      </w:pPr>
    </w:p>
    <w:p>
      <w:pPr>
        <w:ind w:left="340" w:right="300" w:hanging="224"/>
        <w:spacing w:after="0" w:line="23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electing to deliver cash consideration in connection with an exchange under the exchange agreement (provided that the consent of the interested stockholder would not be required).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b w:val="1"/>
          <w:bCs w:val="1"/>
          <w:i w:val="1"/>
          <w:iCs w:val="1"/>
          <w:color w:val="auto"/>
        </w:rPr>
        <w:t>restrictions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 the stockholders’ agreement, each of White Mountains, Insignia, and the Founders have agreed, from the expiration of the lock-up period under the lock-up agreements until the one-year anniversary of the completion of the IPO, to coordinate any sale of their respective shares of common stock, which in any event shall provide for sales on a pro rata basis by all such stockholders that elect to participate in any sale.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b w:val="1"/>
          <w:bCs w:val="1"/>
          <w:i w:val="1"/>
          <w:iCs w:val="1"/>
          <w:color w:val="auto"/>
        </w:rPr>
        <w:t>provisions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stockholders’ agreement provides that each of White Mountains, Insignia, and the Founders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of us, they will have no duty to communicate or offer such corporate opportunity to us. See “Description of capital stock—Corporate opportunity.”</w:t>
      </w:r>
    </w:p>
    <w:p>
      <w:pPr>
        <w:spacing w:after="0" w:line="102" w:lineRule="exact"/>
        <w:rPr>
          <w:sz w:val="20"/>
          <w:szCs w:val="20"/>
          <w:color w:val="auto"/>
        </w:rPr>
      </w:pPr>
    </w:p>
    <w:p>
      <w:pPr>
        <w:ind w:left="120" w:right="400"/>
        <w:spacing w:after="0" w:line="237" w:lineRule="auto"/>
        <w:rPr>
          <w:sz w:val="20"/>
          <w:szCs w:val="20"/>
          <w:color w:val="auto"/>
        </w:rPr>
      </w:pPr>
      <w:r>
        <w:rPr>
          <w:rFonts w:ascii="Arial" w:cs="Arial" w:eastAsia="Arial" w:hAnsi="Arial"/>
          <w:sz w:val="18"/>
          <w:szCs w:val="18"/>
          <w:color w:val="auto"/>
        </w:rPr>
        <w:t>In addition, the stockholders’ agreement prohibits certain business combination transactions in which our Class A common stock is exchanged for consideration unless each holder of shares of Class A common stock or Class B common stock is allowed to participate equally in the transaction as if the Class B common stock, together with an equivalent number of Class B units, had been exchanged for shares of Class A common stock pursuant to the exchange agreement immediately prior to the transaction.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9"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5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are not offering any shares of Class A common stock for sale under this prospectus and will not receive any cash proceeds from the issuance of Class A common stock registered hereunder, but we will receive a number of Class B-1 units, together with the corresponding shares of our Class B common stock, equal to the number of shares of Class A common stock issued upon exchange of Class B-1 units and Class B common stock.</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320" w:top="459" w:right="5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do not anticipate declaring or paying any cash dividends on our Class A common stock in the foreseeable future. Any future determination to declare and pay cash dividends,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 In addition, the 2020 Credit Agreement contains covenants that restrict QuoteLab, LLC’s and, in turn, our ability to pay cash dividends, subject to certain exceptions. Investors should not purchase our Class A common stock with the expectation of receiving cash dividends.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B common stock is not entitled to any dividend payments.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2020:</w:t>
      </w:r>
    </w:p>
    <w:p>
      <w:pPr>
        <w:spacing w:after="0" w:line="117"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MediaAlpha, Inc. on a historical basis;</w:t>
      </w:r>
    </w:p>
    <w:p>
      <w:pPr>
        <w:spacing w:after="0" w:line="3" w:lineRule="exact"/>
        <w:rPr>
          <w:rFonts w:ascii="Arial" w:cs="Arial" w:eastAsia="Arial" w:hAnsi="Arial"/>
          <w:sz w:val="18"/>
          <w:szCs w:val="18"/>
          <w:color w:val="auto"/>
        </w:rPr>
      </w:pPr>
    </w:p>
    <w:p>
      <w:pPr>
        <w:ind w:left="340" w:hanging="224"/>
        <w:spacing w:after="0" w:line="181"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MediaAlpha, Inc. on a pro forma as adjusted basis to give effect to issuance and sale by the selling stockholders of shares of Class A</w:t>
      </w:r>
    </w:p>
    <w:p>
      <w:pPr>
        <w:spacing w:after="0" w:line="203" w:lineRule="exact"/>
        <w:rPr>
          <w:sz w:val="20"/>
          <w:szCs w:val="20"/>
          <w:color w:val="auto"/>
        </w:rPr>
      </w:pPr>
    </w:p>
    <w:p>
      <w:pPr>
        <w:ind w:left="340" w:right="320"/>
        <w:spacing w:after="0" w:line="239" w:lineRule="auto"/>
        <w:rPr>
          <w:sz w:val="20"/>
          <w:szCs w:val="20"/>
          <w:color w:val="auto"/>
        </w:rPr>
      </w:pPr>
      <w:r>
        <w:rPr>
          <w:rFonts w:ascii="Arial" w:cs="Arial" w:eastAsia="Arial" w:hAnsi="Arial"/>
          <w:sz w:val="18"/>
          <w:szCs w:val="18"/>
          <w:color w:val="auto"/>
        </w:rPr>
        <w:t>common stock in this offering at an offering price of per share, after deducting the underwriting discounts and commissions and estimated offering expenses payable by us.</w:t>
      </w:r>
    </w:p>
    <w:p>
      <w:pPr>
        <w:spacing w:after="0" w:line="10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You should read the following table in conjunction with our consolidated financial statements and the related notes appearing at the end of this prospectus and the sections of the prospectus titled “Organizational structure,” “Unaudited pro forma consolidated financial information,” “Management’s discussion and analysis of financial condition and results of operations,” and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1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As of December 31, 2020</w:t>
            </w:r>
          </w:p>
        </w:tc>
      </w:tr>
      <w:tr>
        <w:trPr>
          <w:trHeight w:val="218"/>
        </w:trPr>
        <w:tc>
          <w:tcPr>
            <w:tcW w:w="1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MediaAlpha, Inc.</w:t>
            </w:r>
          </w:p>
        </w:tc>
      </w:tr>
      <w:tr>
        <w:trPr>
          <w:trHeight w:val="203"/>
        </w:trPr>
        <w:tc>
          <w:tcPr>
            <w:tcW w:w="16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pro forma</w:t>
            </w:r>
          </w:p>
        </w:tc>
      </w:tr>
      <w:tr>
        <w:trPr>
          <w:trHeight w:val="235"/>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4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MediaAlpha, Inc.</w:t>
            </w:r>
          </w:p>
        </w:tc>
        <w:tc>
          <w:tcPr>
            <w:tcW w:w="2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as adjusted</w:t>
            </w:r>
          </w:p>
        </w:tc>
      </w:tr>
      <w:tr>
        <w:trPr>
          <w:trHeight w:val="196"/>
        </w:trPr>
        <w:tc>
          <w:tcPr>
            <w:tcW w:w="4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4160" w:type="dxa"/>
            <w:vAlign w:val="bottom"/>
            <w:gridSpan w:val="2"/>
          </w:tcPr>
          <w:p>
            <w:pPr>
              <w:spacing w:after="0"/>
              <w:rPr>
                <w:sz w:val="20"/>
                <w:szCs w:val="20"/>
                <w:color w:val="auto"/>
              </w:rPr>
            </w:pPr>
            <w:r>
              <w:rPr>
                <w:rFonts w:ascii="Arial" w:cs="Arial" w:eastAsia="Arial" w:hAnsi="Arial"/>
                <w:sz w:val="18"/>
                <w:szCs w:val="18"/>
                <w:color w:val="auto"/>
              </w:rPr>
              <w:t>Long-term debt, including current portion</w:t>
            </w:r>
          </w:p>
        </w:tc>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Class A units</w:t>
            </w:r>
          </w:p>
        </w:tc>
        <w:tc>
          <w:tcPr>
            <w:tcW w:w="4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77"/>
        </w:trPr>
        <w:tc>
          <w:tcPr>
            <w:tcW w:w="4160" w:type="dxa"/>
            <w:vAlign w:val="bottom"/>
            <w:gridSpan w:val="2"/>
          </w:tcPr>
          <w:p>
            <w:pPr>
              <w:spacing w:after="0"/>
              <w:rPr>
                <w:sz w:val="20"/>
                <w:szCs w:val="20"/>
                <w:color w:val="auto"/>
              </w:rPr>
            </w:pPr>
            <w:r>
              <w:rPr>
                <w:rFonts w:ascii="Arial" w:cs="Arial" w:eastAsia="Arial" w:hAnsi="Arial"/>
                <w:sz w:val="18"/>
                <w:szCs w:val="18"/>
                <w:color w:val="auto"/>
              </w:rPr>
              <w:t>Members’/stockholders’ (deficit) equity:</w:t>
            </w: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416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w w:val="97"/>
              </w:rPr>
              <w:t>Class A common stock, par value $0.01 per share;</w:t>
            </w:r>
          </w:p>
        </w:tc>
        <w:tc>
          <w:tcPr>
            <w:tcW w:w="460" w:type="dxa"/>
            <w:vAlign w:val="bottom"/>
            <w:shd w:val="clear" w:color="auto" w:fill="CCEEFF"/>
          </w:tcPr>
          <w:p>
            <w:pPr>
              <w:spacing w:after="0"/>
              <w:rPr>
                <w:sz w:val="17"/>
                <w:szCs w:val="17"/>
                <w:color w:val="auto"/>
              </w:rPr>
            </w:pPr>
          </w:p>
        </w:tc>
        <w:tc>
          <w:tcPr>
            <w:tcW w:w="4080" w:type="dxa"/>
            <w:vAlign w:val="bottom"/>
            <w:gridSpan w:val="2"/>
            <w:shd w:val="clear" w:color="auto" w:fill="CCEEFF"/>
          </w:tcPr>
          <w:p>
            <w:pPr>
              <w:ind w:left="200"/>
              <w:spacing w:after="0" w:line="206" w:lineRule="exact"/>
              <w:rPr>
                <w:sz w:val="20"/>
                <w:szCs w:val="20"/>
                <w:color w:val="auto"/>
              </w:rPr>
            </w:pPr>
            <w:r>
              <w:rPr>
                <w:rFonts w:ascii="Arial" w:cs="Arial" w:eastAsia="Arial" w:hAnsi="Arial"/>
                <w:sz w:val="18"/>
                <w:szCs w:val="18"/>
                <w:color w:val="auto"/>
              </w:rPr>
              <w:t>authorized, and</w:t>
            </w:r>
          </w:p>
        </w:tc>
        <w:tc>
          <w:tcPr>
            <w:tcW w:w="2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160" w:type="dxa"/>
            <w:vAlign w:val="bottom"/>
            <w:gridSpan w:val="2"/>
            <w:shd w:val="clear" w:color="auto" w:fill="CCEEFF"/>
          </w:tcPr>
          <w:p>
            <w:pPr>
              <w:ind w:left="1060"/>
              <w:spacing w:after="0" w:line="202" w:lineRule="exact"/>
              <w:rPr>
                <w:sz w:val="20"/>
                <w:szCs w:val="20"/>
                <w:color w:val="auto"/>
              </w:rPr>
            </w:pPr>
            <w:r>
              <w:rPr>
                <w:rFonts w:ascii="Arial" w:cs="Arial" w:eastAsia="Arial" w:hAnsi="Arial"/>
                <w:sz w:val="18"/>
                <w:szCs w:val="18"/>
                <w:color w:val="auto"/>
              </w:rPr>
              <w:t>issued and outstanding, actual;</w:t>
            </w:r>
          </w:p>
        </w:tc>
        <w:tc>
          <w:tcPr>
            <w:tcW w:w="4540" w:type="dxa"/>
            <w:vAlign w:val="bottom"/>
            <w:gridSpan w:val="3"/>
            <w:shd w:val="clear" w:color="auto" w:fill="CCEEFF"/>
          </w:tcPr>
          <w:p>
            <w:pPr>
              <w:jc w:val="right"/>
              <w:ind w:right="3012"/>
              <w:spacing w:after="0" w:line="202" w:lineRule="exact"/>
              <w:rPr>
                <w:sz w:val="20"/>
                <w:szCs w:val="20"/>
                <w:color w:val="auto"/>
              </w:rPr>
            </w:pPr>
            <w:r>
              <w:rPr>
                <w:rFonts w:ascii="Arial" w:cs="Arial" w:eastAsia="Arial" w:hAnsi="Arial"/>
                <w:sz w:val="18"/>
                <w:szCs w:val="18"/>
                <w:color w:val="auto"/>
                <w:w w:val="95"/>
              </w:rPr>
              <w:t>shares authorized,</w:t>
            </w:r>
          </w:p>
        </w:tc>
        <w:tc>
          <w:tcPr>
            <w:tcW w:w="2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8700" w:type="dxa"/>
            <w:vAlign w:val="bottom"/>
            <w:gridSpan w:val="5"/>
            <w:shd w:val="clear" w:color="auto" w:fill="CCEEFF"/>
          </w:tcPr>
          <w:p>
            <w:pPr>
              <w:ind w:left="1060"/>
              <w:spacing w:after="0" w:line="200" w:lineRule="exact"/>
              <w:rPr>
                <w:sz w:val="20"/>
                <w:szCs w:val="20"/>
                <w:color w:val="auto"/>
              </w:rPr>
            </w:pPr>
            <w:r>
              <w:rPr>
                <w:rFonts w:ascii="Arial" w:cs="Arial" w:eastAsia="Arial" w:hAnsi="Arial"/>
                <w:sz w:val="18"/>
                <w:szCs w:val="18"/>
                <w:color w:val="auto"/>
              </w:rPr>
              <w:t>shares issued and outstanding, pro forma as adjusted</w:t>
            </w:r>
          </w:p>
        </w:tc>
        <w:tc>
          <w:tcPr>
            <w:tcW w:w="2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6"/>
        </w:trPr>
        <w:tc>
          <w:tcPr>
            <w:tcW w:w="4160" w:type="dxa"/>
            <w:vAlign w:val="bottom"/>
            <w:gridSpan w:val="2"/>
          </w:tcPr>
          <w:p>
            <w:pPr>
              <w:ind w:left="220"/>
              <w:spacing w:after="0" w:line="206" w:lineRule="exact"/>
              <w:rPr>
                <w:sz w:val="20"/>
                <w:szCs w:val="20"/>
                <w:color w:val="auto"/>
              </w:rPr>
            </w:pPr>
            <w:r>
              <w:rPr>
                <w:rFonts w:ascii="Arial" w:cs="Arial" w:eastAsia="Arial" w:hAnsi="Arial"/>
                <w:sz w:val="18"/>
                <w:szCs w:val="18"/>
                <w:color w:val="auto"/>
                <w:w w:val="97"/>
              </w:rPr>
              <w:t>Class B common stock, par value $0.01 per share;</w:t>
            </w:r>
          </w:p>
        </w:tc>
        <w:tc>
          <w:tcPr>
            <w:tcW w:w="460" w:type="dxa"/>
            <w:vAlign w:val="bottom"/>
          </w:tcPr>
          <w:p>
            <w:pPr>
              <w:spacing w:after="0"/>
              <w:rPr>
                <w:sz w:val="17"/>
                <w:szCs w:val="17"/>
                <w:color w:val="auto"/>
              </w:rPr>
            </w:pPr>
          </w:p>
        </w:tc>
        <w:tc>
          <w:tcPr>
            <w:tcW w:w="4080" w:type="dxa"/>
            <w:vAlign w:val="bottom"/>
            <w:gridSpan w:val="2"/>
          </w:tcPr>
          <w:p>
            <w:pPr>
              <w:ind w:left="200"/>
              <w:spacing w:after="0" w:line="206" w:lineRule="exact"/>
              <w:rPr>
                <w:sz w:val="20"/>
                <w:szCs w:val="20"/>
                <w:color w:val="auto"/>
              </w:rPr>
            </w:pPr>
            <w:r>
              <w:rPr>
                <w:rFonts w:ascii="Arial" w:cs="Arial" w:eastAsia="Arial" w:hAnsi="Arial"/>
                <w:sz w:val="18"/>
                <w:szCs w:val="18"/>
                <w:color w:val="auto"/>
              </w:rPr>
              <w:t>shares</w:t>
            </w:r>
          </w:p>
        </w:tc>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640" w:type="dxa"/>
            <w:vAlign w:val="bottom"/>
          </w:tcPr>
          <w:p>
            <w:pPr>
              <w:ind w:left="420"/>
              <w:spacing w:after="0" w:line="202" w:lineRule="exact"/>
              <w:rPr>
                <w:sz w:val="20"/>
                <w:szCs w:val="20"/>
                <w:color w:val="auto"/>
              </w:rPr>
            </w:pPr>
            <w:r>
              <w:rPr>
                <w:rFonts w:ascii="Arial" w:cs="Arial" w:eastAsia="Arial" w:hAnsi="Arial"/>
                <w:sz w:val="18"/>
                <w:szCs w:val="18"/>
                <w:color w:val="auto"/>
              </w:rPr>
              <w:t>authorized,</w:t>
            </w:r>
          </w:p>
        </w:tc>
        <w:tc>
          <w:tcPr>
            <w:tcW w:w="29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issued and outstanding, actual;</w:t>
            </w:r>
          </w:p>
        </w:tc>
        <w:tc>
          <w:tcPr>
            <w:tcW w:w="4080" w:type="dxa"/>
            <w:vAlign w:val="bottom"/>
            <w:gridSpan w:val="2"/>
          </w:tcPr>
          <w:p>
            <w:pPr>
              <w:jc w:val="right"/>
              <w:ind w:right="3012"/>
              <w:spacing w:after="0" w:line="202" w:lineRule="exact"/>
              <w:rPr>
                <w:sz w:val="20"/>
                <w:szCs w:val="20"/>
                <w:color w:val="auto"/>
              </w:rPr>
            </w:pPr>
            <w:r>
              <w:rPr>
                <w:rFonts w:ascii="Arial" w:cs="Arial" w:eastAsia="Arial" w:hAnsi="Arial"/>
                <w:sz w:val="18"/>
                <w:szCs w:val="18"/>
                <w:color w:val="auto"/>
              </w:rPr>
              <w:t>shares</w:t>
            </w:r>
          </w:p>
        </w:tc>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640" w:type="dxa"/>
            <w:vAlign w:val="bottom"/>
          </w:tcPr>
          <w:p>
            <w:pPr>
              <w:ind w:left="420"/>
              <w:spacing w:after="0" w:line="202" w:lineRule="exact"/>
              <w:rPr>
                <w:sz w:val="20"/>
                <w:szCs w:val="20"/>
                <w:color w:val="auto"/>
              </w:rPr>
            </w:pPr>
            <w:r>
              <w:rPr>
                <w:rFonts w:ascii="Arial" w:cs="Arial" w:eastAsia="Arial" w:hAnsi="Arial"/>
                <w:sz w:val="18"/>
                <w:szCs w:val="18"/>
                <w:color w:val="auto"/>
              </w:rPr>
              <w:t>authorized,</w:t>
            </w:r>
          </w:p>
        </w:tc>
        <w:tc>
          <w:tcPr>
            <w:tcW w:w="706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shares issued and outstanding, pro forma as</w:t>
            </w:r>
          </w:p>
        </w:tc>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640" w:type="dxa"/>
            <w:vAlign w:val="bottom"/>
          </w:tcPr>
          <w:p>
            <w:pPr>
              <w:ind w:left="420"/>
              <w:spacing w:after="0" w:line="202" w:lineRule="exact"/>
              <w:rPr>
                <w:sz w:val="20"/>
                <w:szCs w:val="20"/>
                <w:color w:val="auto"/>
              </w:rPr>
            </w:pPr>
            <w:r>
              <w:rPr>
                <w:rFonts w:ascii="Arial" w:cs="Arial" w:eastAsia="Arial" w:hAnsi="Arial"/>
                <w:sz w:val="18"/>
                <w:szCs w:val="18"/>
                <w:color w:val="auto"/>
              </w:rPr>
              <w:t>adjusted</w:t>
            </w:r>
          </w:p>
        </w:tc>
        <w:tc>
          <w:tcPr>
            <w:tcW w:w="2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Additional paid-in capital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Members’/stockholders’ (deficit) equity attributable to</w:t>
      </w:r>
    </w:p>
    <w:p>
      <w:pPr>
        <w:ind w:left="1620"/>
        <w:spacing w:after="0" w:line="234" w:lineRule="auto"/>
        <w:rPr>
          <w:sz w:val="20"/>
          <w:szCs w:val="20"/>
          <w:color w:val="auto"/>
        </w:rPr>
      </w:pPr>
      <w:r>
        <w:rPr>
          <w:rFonts w:ascii="Arial" w:cs="Arial" w:eastAsia="Arial" w:hAnsi="Arial"/>
          <w:sz w:val="18"/>
          <w:szCs w:val="18"/>
          <w:color w:val="auto"/>
        </w:rPr>
        <w:t>member/stockholders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members’/stockholders’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-4445</wp:posOffset>
            </wp:positionV>
            <wp:extent cx="24606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691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69125" cy="8890"/>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foregoing table does not give effect to the following:</w:t>
      </w:r>
    </w:p>
    <w:p>
      <w:pPr>
        <w:spacing w:after="0" w:line="117" w:lineRule="exact"/>
        <w:rPr>
          <w:sz w:val="20"/>
          <w:szCs w:val="20"/>
          <w:color w:val="auto"/>
        </w:rPr>
      </w:pPr>
    </w:p>
    <w:p>
      <w:pPr>
        <w:ind w:left="340" w:right="120" w:hanging="224"/>
        <w:spacing w:after="0" w:line="239" w:lineRule="auto"/>
        <w:tabs>
          <w:tab w:leader="none" w:pos="9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Class A common stock that are issuable upon exchanges of Class B-1 units of QL Holdings LLC (together with an equal number of shares of our Class B common stock) that will be outstanding immediately after the completion of this offering;</w:t>
      </w:r>
    </w:p>
    <w:p>
      <w:pPr>
        <w:spacing w:after="0" w:line="114" w:lineRule="exact"/>
        <w:rPr>
          <w:rFonts w:ascii="Arial" w:cs="Arial" w:eastAsia="Arial" w:hAnsi="Arial"/>
          <w:sz w:val="18"/>
          <w:szCs w:val="18"/>
          <w:color w:val="auto"/>
        </w:rPr>
      </w:pPr>
    </w:p>
    <w:p>
      <w:pPr>
        <w:ind w:left="960" w:hanging="84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Class A common stock issuable upon the vesting of outstanding equity awards; and</w:t>
      </w:r>
    </w:p>
    <w:p>
      <w:pPr>
        <w:spacing w:after="0" w:line="117" w:lineRule="exact"/>
        <w:rPr>
          <w:rFonts w:ascii="Arial" w:cs="Arial" w:eastAsia="Arial" w:hAnsi="Arial"/>
          <w:sz w:val="18"/>
          <w:szCs w:val="18"/>
          <w:color w:val="auto"/>
        </w:rPr>
      </w:pPr>
    </w:p>
    <w:p>
      <w:pPr>
        <w:ind w:left="340" w:right="240" w:hanging="224"/>
        <w:spacing w:after="0" w:line="239" w:lineRule="auto"/>
        <w:tabs>
          <w:tab w:leader="none" w:pos="9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Class A common stock reserved for issuance under our Omnibus Incentive Plan (see “Executive compensation—2020 Omnibus incentive plan”).</w:t>
      </w:r>
    </w:p>
    <w:p>
      <w:pPr>
        <w:spacing w:after="0" w:line="101"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Except as otherwise noted, all information in this prospectus assumes no exercise by the underwriters of their option to purchase additional shares.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Unaudited pro forma consolidated financial information</w:t>
      </w:r>
    </w:p>
    <w:p>
      <w:pPr>
        <w:spacing w:after="0" w:line="157"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unaudited pro forma consolidated statements of operations for the year ended December 31, 2020 presents the consolidated results of operations of MediaAlpha, Inc. after giving pro forma effect to the IPO reorganization and the IPO as described under “Organizational structure” and as further adjusted for this offering as if such transactions had occurred on January 1, 2020.</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pro forma adjustments are based on available information and upon assumptions that our management believes are reasonable in order to reflect, on a pro forma basis, the impact of the IPO reorganization and the IPO and as further adjusted for this offering, on the historical financial information of QL Holdings LLC. See Note 2 of the notes to the unaudited pro forma consolidated financial information for further discussion of the impact of the IPO reorganization on a pro forma basis.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Following the IPO, QL Holdings LLC became the predecessor of the Company for financial reporting purposes. The unaudited pro forma consolidated financial information reflects the manner in which the Company accounts for the IPO reorganization, which has been reflected on a basis consistent with a combination of entities under common control. The pro forma adjustments presented herein are based upon available information and methodologies that are (i) directly attributable to the Debt Financing, IPO reorganization and the IPO, (ii) factually supportable, and (iii) with respect to the statement of operations, expected to have a continuing impact on the operating results of the consolidated company. The Company accounts for the IPO reorganization as a common control transaction based on, among other things, the high degree of common ownership among the pre-offering equityholders after the IPO reorganization. Accordingly, the Company determined that the IPO reorganization should be recorded at carryover basis. The actual adjustments to our consolidated financial statements upon the IPO reorganization will depend on a number of factors, including additional information available and the actual balance of our net assets on the closing date. Therefore, the actual adjustments will differ from the pro forma adjustments, and the differences may be material.</w:t>
      </w:r>
    </w:p>
    <w:p>
      <w:pPr>
        <w:spacing w:after="0" w:line="10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unaudited pro forma consolidated financial information is included for informational purposes only and does not purport to reflect our results of operations or financial position that would have occurred had we operated according to the organizational structure set forth herein as a public company during the periods presented. The unaudited pro forma consolidated financial information should not be relied upon as being indicative of our financial condition or results of operations had the Debt Financing, IPO reorganization and the IPO as described under “Organizational structure” and “Use of proceeds” occurred on the dates assumed. The unaudited pro forma consolidated financial information also does not project our results of operations or financial position for any future period or date.</w:t>
      </w:r>
    </w:p>
    <w:p>
      <w:pPr>
        <w:spacing w:after="0" w:line="102"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unaudited pro forma consolidated financial information presented assumes no exercise by the underwriters of their option to purchase additional shares of Class A common stock.</w:t>
      </w:r>
    </w:p>
    <w:p>
      <w:pPr>
        <w:spacing w:after="0" w:line="101" w:lineRule="exact"/>
        <w:rPr>
          <w:sz w:val="20"/>
          <w:szCs w:val="20"/>
          <w:color w:val="auto"/>
        </w:rPr>
      </w:pPr>
    </w:p>
    <w:p>
      <w:pPr>
        <w:ind w:left="120" w:right="100"/>
        <w:spacing w:after="0" w:line="268" w:lineRule="auto"/>
        <w:rPr>
          <w:sz w:val="20"/>
          <w:szCs w:val="20"/>
          <w:color w:val="auto"/>
        </w:rPr>
      </w:pPr>
      <w:r>
        <w:rPr>
          <w:rFonts w:ascii="Arial" w:cs="Arial" w:eastAsia="Arial" w:hAnsi="Arial"/>
          <w:sz w:val="16"/>
          <w:szCs w:val="16"/>
          <w:color w:val="auto"/>
        </w:rPr>
        <w:t>As described in greater detail under “Organizational structure—Tax receivables agreement,” in connection with the IPO, we entered into the tax receivables agreement with Insignia, the Senior Executives, and White Mountains, pursuant to which we agreed to pay Insignia and the Senior Executives 85% of the cash savings, if any, in U.S. federal, state, and local income tax that we realize (or are deemed to realize) as a result of (i) any increases in tax basis following our purchase (through Intermediate Holdco) of Class B-1 units of QL Holdings LLC from certain unitholders (including the Selling Class B-1 Unit Holders) in connection with the IPO, as well as any post-IPO exchanges (including in connection with this offering) described above, (ii) the Pre-IPO Leveraged Distribution and other actual or deemed distributions by QL Holdings LLC to its members that result in tax basis adjustments to the assets of QL Holdings LLC, and (iii) certain other tax benefits attributable to payments under the tax receivables agreement itself. No future exchanges or other tax benefits have been assumed in the unaudited pro forma consolidated financial information. The tax receivables agreement also requires us to pay</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 We currently estimate that the amount of any such net operating losses is immaterial.</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You should read the following unaudited pro forma consolidated balance sheet and statements of operations together with the sections of this prospectus titled “Use of proceeds,” “Capitalization,” and “Management’s discussion and analysis of financial condition and results of operations,” and the audited consolidated financial statements and notes thereto included elsewhere in this prospectus.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MediaAlpha, Inc.</w:t>
      </w:r>
    </w:p>
    <w:p>
      <w:pPr>
        <w:spacing w:after="0" w:line="50" w:lineRule="exact"/>
        <w:rPr>
          <w:sz w:val="20"/>
          <w:szCs w:val="20"/>
          <w:color w:val="auto"/>
        </w:rPr>
      </w:pPr>
    </w:p>
    <w:p>
      <w:pPr>
        <w:ind w:left="120" w:right="140"/>
        <w:spacing w:after="0" w:line="246" w:lineRule="auto"/>
        <w:rPr>
          <w:sz w:val="20"/>
          <w:szCs w:val="20"/>
          <w:color w:val="auto"/>
        </w:rPr>
      </w:pPr>
      <w:r>
        <w:rPr>
          <w:rFonts w:ascii="Arial" w:cs="Arial" w:eastAsia="Arial" w:hAnsi="Arial"/>
          <w:sz w:val="32"/>
          <w:szCs w:val="32"/>
          <w:b w:val="1"/>
          <w:bCs w:val="1"/>
          <w:color w:val="auto"/>
        </w:rPr>
        <w:t>Unaudited pro forma consolidated statement of operations for the year ended December 31, 2020</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MediaAlpha, Inc.</w:t>
            </w:r>
          </w:p>
        </w:tc>
      </w:tr>
      <w:tr>
        <w:trPr>
          <w:trHeight w:val="148"/>
        </w:trPr>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pro forma</w:t>
            </w:r>
          </w:p>
        </w:tc>
      </w:tr>
      <w:tr>
        <w:trPr>
          <w:trHeight w:val="152"/>
        </w:trPr>
        <w:tc>
          <w:tcPr>
            <w:tcW w:w="1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MediaAlpha, Inc.</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for offering</w:t>
            </w:r>
          </w:p>
        </w:tc>
      </w:tr>
      <w:tr>
        <w:trPr>
          <w:trHeight w:val="148"/>
        </w:trPr>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593"/>
              <w:spacing w:after="0"/>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2"/>
                <w:szCs w:val="12"/>
                <w:color w:val="auto"/>
              </w:rPr>
            </w:pPr>
          </w:p>
        </w:tc>
        <w:tc>
          <w:tcPr>
            <w:tcW w:w="1500" w:type="dxa"/>
            <w:vAlign w:val="bottom"/>
            <w:gridSpan w:val="2"/>
          </w:tcPr>
          <w:p>
            <w:pPr>
              <w:jc w:val="right"/>
              <w:ind w:right="593"/>
              <w:spacing w:after="0"/>
              <w:rPr>
                <w:sz w:val="20"/>
                <w:szCs w:val="20"/>
                <w:color w:val="auto"/>
              </w:rPr>
            </w:pPr>
            <w:r>
              <w:rPr>
                <w:rFonts w:ascii="Arial" w:cs="Arial" w:eastAsia="Arial" w:hAnsi="Arial"/>
                <w:sz w:val="13"/>
                <w:szCs w:val="13"/>
                <w:b w:val="1"/>
                <w:bCs w:val="1"/>
                <w:color w:val="auto"/>
              </w:rPr>
              <w:t>Offering</w:t>
            </w:r>
          </w:p>
        </w:tc>
        <w:tc>
          <w:tcPr>
            <w:tcW w:w="1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pro forma for</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Secondary</w:t>
            </w:r>
          </w:p>
        </w:tc>
        <w:tc>
          <w:tcPr>
            <w:tcW w:w="12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reorganization</w:t>
            </w:r>
          </w:p>
        </w:tc>
      </w:tr>
      <w:tr>
        <w:trPr>
          <w:trHeight w:val="148"/>
        </w:trPr>
        <w:tc>
          <w:tcPr>
            <w:tcW w:w="14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QL Holdings LLC</w:t>
            </w:r>
          </w:p>
        </w:tc>
        <w:tc>
          <w:tcPr>
            <w:tcW w:w="1460" w:type="dxa"/>
            <w:vAlign w:val="bottom"/>
            <w:gridSpan w:val="2"/>
          </w:tcPr>
          <w:p>
            <w:pPr>
              <w:jc w:val="right"/>
              <w:ind w:right="593"/>
              <w:spacing w:after="0"/>
              <w:rPr>
                <w:sz w:val="20"/>
                <w:szCs w:val="20"/>
                <w:color w:val="auto"/>
              </w:rPr>
            </w:pPr>
            <w:r>
              <w:rPr>
                <w:rFonts w:ascii="Arial" w:cs="Arial" w:eastAsia="Arial" w:hAnsi="Arial"/>
                <w:sz w:val="13"/>
                <w:szCs w:val="13"/>
                <w:b w:val="1"/>
                <w:bCs w:val="1"/>
                <w:color w:val="auto"/>
              </w:rPr>
              <w:t>financing</w:t>
            </w:r>
          </w:p>
        </w:tc>
        <w:tc>
          <w:tcPr>
            <w:tcW w:w="1600" w:type="dxa"/>
            <w:vAlign w:val="bottom"/>
            <w:gridSpan w:val="3"/>
          </w:tcPr>
          <w:p>
            <w:pPr>
              <w:jc w:val="right"/>
              <w:ind w:right="593"/>
              <w:spacing w:after="0"/>
              <w:rPr>
                <w:sz w:val="20"/>
                <w:szCs w:val="20"/>
                <w:color w:val="auto"/>
              </w:rPr>
            </w:pPr>
            <w:r>
              <w:rPr>
                <w:rFonts w:ascii="Arial" w:cs="Arial" w:eastAsia="Arial" w:hAnsi="Arial"/>
                <w:sz w:val="13"/>
                <w:szCs w:val="13"/>
                <w:b w:val="1"/>
                <w:bCs w:val="1"/>
                <w:color w:val="auto"/>
              </w:rPr>
              <w:t>reorganization</w:t>
            </w:r>
          </w:p>
        </w:tc>
        <w:tc>
          <w:tcPr>
            <w:tcW w:w="1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offering</w:t>
            </w:r>
          </w:p>
        </w:tc>
        <w:tc>
          <w:tcPr>
            <w:tcW w:w="9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Initial offering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offering</w:t>
            </w:r>
          </w:p>
        </w:tc>
        <w:tc>
          <w:tcPr>
            <w:tcW w:w="11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and as adjusted</w:t>
            </w:r>
          </w:p>
        </w:tc>
      </w:tr>
      <w:tr>
        <w:trPr>
          <w:trHeight w:val="176"/>
        </w:trPr>
        <w:tc>
          <w:tcPr>
            <w:tcW w:w="1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historical (A)</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adjustments  Note 1</w:t>
            </w: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adjustments  Note 2</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reorganization</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adjustments</w:t>
            </w:r>
          </w:p>
        </w:tc>
        <w:tc>
          <w:tcPr>
            <w:tcW w:w="2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Note 3  adjustments  Note 4</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for offerings</w:t>
            </w:r>
          </w:p>
        </w:tc>
      </w:tr>
      <w:tr>
        <w:trPr>
          <w:trHeight w:val="142"/>
        </w:trPr>
        <w:tc>
          <w:tcPr>
            <w:tcW w:w="14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Revenue</w:t>
            </w:r>
          </w:p>
        </w:tc>
        <w:tc>
          <w:tcPr>
            <w:tcW w:w="12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593"/>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593"/>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w:t>
            </w:r>
          </w:p>
        </w:tc>
      </w:tr>
      <w:tr>
        <w:trPr>
          <w:trHeight w:val="148"/>
        </w:trPr>
        <w:tc>
          <w:tcPr>
            <w:tcW w:w="1420" w:type="dxa"/>
            <w:vAlign w:val="bottom"/>
          </w:tcPr>
          <w:p>
            <w:pPr>
              <w:ind w:left="220"/>
              <w:spacing w:after="0" w:line="148" w:lineRule="exact"/>
              <w:rPr>
                <w:sz w:val="20"/>
                <w:szCs w:val="20"/>
                <w:color w:val="auto"/>
              </w:rPr>
            </w:pPr>
            <w:r>
              <w:rPr>
                <w:rFonts w:ascii="Arial" w:cs="Arial" w:eastAsia="Arial" w:hAnsi="Arial"/>
                <w:sz w:val="13"/>
                <w:szCs w:val="13"/>
                <w:color w:val="auto"/>
              </w:rPr>
              <w:t>Costs and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420" w:type="dxa"/>
            <w:vAlign w:val="bottom"/>
          </w:tcPr>
          <w:p>
            <w:pPr>
              <w:ind w:left="420"/>
              <w:spacing w:after="0"/>
              <w:rPr>
                <w:sz w:val="20"/>
                <w:szCs w:val="20"/>
                <w:color w:val="auto"/>
              </w:rPr>
            </w:pPr>
            <w:r>
              <w:rPr>
                <w:rFonts w:ascii="Arial" w:cs="Arial" w:eastAsia="Arial" w:hAnsi="Arial"/>
                <w:sz w:val="13"/>
                <w:szCs w:val="13"/>
                <w:color w:val="auto"/>
              </w:rPr>
              <w:t>operating</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420" w:type="dxa"/>
            <w:vAlign w:val="bottom"/>
          </w:tcPr>
          <w:p>
            <w:pPr>
              <w:ind w:left="420"/>
              <w:spacing w:after="0"/>
              <w:rPr>
                <w:sz w:val="20"/>
                <w:szCs w:val="20"/>
                <w:color w:val="auto"/>
              </w:rPr>
            </w:pPr>
            <w:r>
              <w:rPr>
                <w:rFonts w:ascii="Arial" w:cs="Arial" w:eastAsia="Arial" w:hAnsi="Arial"/>
                <w:sz w:val="13"/>
                <w:szCs w:val="13"/>
                <w:color w:val="auto"/>
              </w:rPr>
              <w:t>expenses: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 of revenue</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1420" w:type="dxa"/>
            <w:vAlign w:val="bottom"/>
          </w:tcPr>
          <w:p>
            <w:pPr>
              <w:ind w:left="220"/>
              <w:spacing w:after="0" w:line="148" w:lineRule="exact"/>
              <w:rPr>
                <w:sz w:val="20"/>
                <w:szCs w:val="20"/>
                <w:color w:val="auto"/>
              </w:rPr>
            </w:pPr>
            <w:r>
              <w:rPr>
                <w:rFonts w:ascii="Arial" w:cs="Arial" w:eastAsia="Arial" w:hAnsi="Arial"/>
                <w:sz w:val="13"/>
                <w:szCs w:val="13"/>
                <w:color w:val="auto"/>
              </w:rPr>
              <w:t>Sales and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420" w:type="dxa"/>
            <w:vAlign w:val="bottom"/>
          </w:tcPr>
          <w:p>
            <w:pPr>
              <w:ind w:left="420"/>
              <w:spacing w:after="0"/>
              <w:rPr>
                <w:sz w:val="20"/>
                <w:szCs w:val="20"/>
                <w:color w:val="auto"/>
              </w:rPr>
            </w:pPr>
            <w:r>
              <w:rPr>
                <w:rFonts w:ascii="Arial" w:cs="Arial" w:eastAsia="Arial" w:hAnsi="Arial"/>
                <w:sz w:val="13"/>
                <w:szCs w:val="13"/>
                <w:color w:val="auto"/>
              </w:rPr>
              <w:t>marketing</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Product</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development</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1420" w:type="dxa"/>
            <w:vAlign w:val="bottom"/>
          </w:tcPr>
          <w:p>
            <w:pPr>
              <w:ind w:left="220"/>
              <w:spacing w:after="0" w:line="148" w:lineRule="exact"/>
              <w:rPr>
                <w:sz w:val="20"/>
                <w:szCs w:val="20"/>
                <w:color w:val="auto"/>
              </w:rPr>
            </w:pPr>
            <w:r>
              <w:rPr>
                <w:rFonts w:ascii="Arial" w:cs="Arial" w:eastAsia="Arial" w:hAnsi="Arial"/>
                <w:sz w:val="13"/>
                <w:szCs w:val="13"/>
                <w:color w:val="auto"/>
              </w:rPr>
              <w:t>General and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6"/>
        </w:trPr>
        <w:tc>
          <w:tcPr>
            <w:tcW w:w="1420" w:type="dxa"/>
            <w:vAlign w:val="bottom"/>
          </w:tcPr>
          <w:p>
            <w:pPr>
              <w:ind w:left="420"/>
              <w:spacing w:after="0"/>
              <w:rPr>
                <w:sz w:val="20"/>
                <w:szCs w:val="20"/>
                <w:color w:val="auto"/>
              </w:rPr>
            </w:pPr>
            <w:r>
              <w:rPr>
                <w:rFonts w:ascii="Arial" w:cs="Arial" w:eastAsia="Arial" w:hAnsi="Arial"/>
                <w:sz w:val="13"/>
                <w:szCs w:val="13"/>
                <w:color w:val="auto"/>
              </w:rPr>
              <w:t>administrative</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60" w:type="dxa"/>
            <w:vAlign w:val="bottom"/>
          </w:tcPr>
          <w:p>
            <w:pPr>
              <w:ind w:left="360"/>
              <w:spacing w:after="0"/>
              <w:rPr>
                <w:sz w:val="20"/>
                <w:szCs w:val="20"/>
                <w:color w:val="auto"/>
              </w:rPr>
            </w:pPr>
            <w:r>
              <w:rPr>
                <w:rFonts w:ascii="Arial" w:cs="Arial" w:eastAsia="Arial" w:hAnsi="Arial"/>
                <w:sz w:val="13"/>
                <w:szCs w:val="13"/>
                <w:color w:val="auto"/>
              </w:rPr>
              <w:t>a</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142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Total costs and</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14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operating</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expenses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139"/>
        </w:trPr>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Income (loss) from</w:t>
            </w: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79"/>
        </w:trPr>
        <w:tc>
          <w:tcPr>
            <w:tcW w:w="1420" w:type="dxa"/>
            <w:vAlign w:val="bottom"/>
          </w:tcPr>
          <w:p>
            <w:pPr>
              <w:ind w:left="220"/>
              <w:spacing w:after="0"/>
              <w:rPr>
                <w:sz w:val="20"/>
                <w:szCs w:val="20"/>
                <w:color w:val="auto"/>
              </w:rPr>
            </w:pPr>
            <w:r>
              <w:rPr>
                <w:rFonts w:ascii="Arial" w:cs="Arial" w:eastAsia="Arial" w:hAnsi="Arial"/>
                <w:sz w:val="13"/>
                <w:szCs w:val="13"/>
                <w:b w:val="1"/>
                <w:bCs w:val="1"/>
                <w:color w:val="auto"/>
              </w:rPr>
              <w:t>operations</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Interest expense</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(income), net</w:t>
            </w:r>
          </w:p>
        </w:tc>
        <w:tc>
          <w:tcPr>
            <w:tcW w:w="11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1420" w:type="dxa"/>
            <w:vAlign w:val="bottom"/>
          </w:tcPr>
          <w:p>
            <w:pPr>
              <w:spacing w:after="0"/>
              <w:rPr>
                <w:sz w:val="20"/>
                <w:szCs w:val="20"/>
                <w:color w:val="auto"/>
              </w:rPr>
            </w:pPr>
            <w:r>
              <w:rPr>
                <w:rFonts w:ascii="Arial" w:cs="Arial" w:eastAsia="Arial" w:hAnsi="Arial"/>
                <w:sz w:val="13"/>
                <w:szCs w:val="13"/>
                <w:b w:val="1"/>
                <w:bCs w:val="1"/>
                <w:color w:val="auto"/>
              </w:rPr>
              <w:t>Pretax income (loss)</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500" w:type="dxa"/>
            <w:vAlign w:val="bottom"/>
            <w:gridSpan w:val="2"/>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Income tax</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expense</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(benefit)</w:t>
            </w:r>
          </w:p>
        </w:tc>
        <w:tc>
          <w:tcPr>
            <w:tcW w:w="11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6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w:t>
            </w: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1420" w:type="dxa"/>
            <w:vAlign w:val="bottom"/>
          </w:tcPr>
          <w:p>
            <w:pPr>
              <w:spacing w:after="0"/>
              <w:rPr>
                <w:sz w:val="20"/>
                <w:szCs w:val="20"/>
                <w:color w:val="auto"/>
              </w:rPr>
            </w:pPr>
            <w:r>
              <w:rPr>
                <w:rFonts w:ascii="Arial" w:cs="Arial" w:eastAsia="Arial" w:hAnsi="Arial"/>
                <w:sz w:val="13"/>
                <w:szCs w:val="13"/>
                <w:b w:val="1"/>
                <w:bCs w:val="1"/>
                <w:color w:val="auto"/>
              </w:rPr>
              <w:t>Net income (loss)</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500" w:type="dxa"/>
            <w:vAlign w:val="bottom"/>
            <w:gridSpan w:val="2"/>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20"/>
        </w:trPr>
        <w:tc>
          <w:tcPr>
            <w:tcW w:w="1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4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Less: net income</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attributable</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 non-controlling</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interests</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b</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1420" w:type="dxa"/>
            <w:vAlign w:val="bottom"/>
          </w:tcPr>
          <w:p>
            <w:pPr>
              <w:ind w:left="220"/>
              <w:spacing w:after="0"/>
              <w:rPr>
                <w:sz w:val="20"/>
                <w:szCs w:val="20"/>
                <w:color w:val="auto"/>
              </w:rPr>
            </w:pPr>
            <w:r>
              <w:rPr>
                <w:rFonts w:ascii="Arial" w:cs="Arial" w:eastAsia="Arial" w:hAnsi="Arial"/>
                <w:sz w:val="13"/>
                <w:szCs w:val="13"/>
                <w:color w:val="auto"/>
              </w:rPr>
              <w:t>Net income (loss)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1420" w:type="dxa"/>
            <w:vAlign w:val="bottom"/>
          </w:tcPr>
          <w:p>
            <w:pPr>
              <w:ind w:left="420"/>
              <w:spacing w:after="0"/>
              <w:rPr>
                <w:sz w:val="20"/>
                <w:szCs w:val="20"/>
                <w:color w:val="auto"/>
              </w:rPr>
            </w:pPr>
            <w:r>
              <w:rPr>
                <w:rFonts w:ascii="Arial" w:cs="Arial" w:eastAsia="Arial" w:hAnsi="Arial"/>
                <w:sz w:val="13"/>
                <w:szCs w:val="13"/>
                <w:color w:val="auto"/>
              </w:rPr>
              <w:t>attributable to</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20" w:type="dxa"/>
            <w:vAlign w:val="bottom"/>
          </w:tcPr>
          <w:p>
            <w:pPr>
              <w:ind w:left="420"/>
              <w:spacing w:after="0"/>
              <w:rPr>
                <w:sz w:val="20"/>
                <w:szCs w:val="20"/>
                <w:color w:val="auto"/>
              </w:rPr>
            </w:pPr>
            <w:r>
              <w:rPr>
                <w:rFonts w:ascii="Arial" w:cs="Arial" w:eastAsia="Arial" w:hAnsi="Arial"/>
                <w:sz w:val="13"/>
                <w:szCs w:val="13"/>
                <w:color w:val="auto"/>
              </w:rPr>
              <w:t>stockholders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420" w:type="dxa"/>
            <w:vAlign w:val="bottom"/>
          </w:tcPr>
          <w:p>
            <w:pPr>
              <w:ind w:left="420"/>
              <w:spacing w:after="0"/>
              <w:rPr>
                <w:sz w:val="20"/>
                <w:szCs w:val="20"/>
                <w:color w:val="auto"/>
              </w:rPr>
            </w:pPr>
            <w:r>
              <w:rPr>
                <w:rFonts w:ascii="Arial" w:cs="Arial" w:eastAsia="Arial" w:hAnsi="Arial"/>
                <w:sz w:val="13"/>
                <w:szCs w:val="13"/>
                <w:color w:val="auto"/>
              </w:rPr>
              <w:t>of MediaAlpha,</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420" w:type="dxa"/>
            <w:vAlign w:val="bottom"/>
          </w:tcPr>
          <w:p>
            <w:pPr>
              <w:ind w:left="420"/>
              <w:spacing w:after="0"/>
              <w:rPr>
                <w:sz w:val="20"/>
                <w:szCs w:val="20"/>
                <w:color w:val="auto"/>
              </w:rPr>
            </w:pPr>
            <w:r>
              <w:rPr>
                <w:rFonts w:ascii="Arial" w:cs="Arial" w:eastAsia="Arial" w:hAnsi="Arial"/>
                <w:sz w:val="13"/>
                <w:szCs w:val="13"/>
                <w:color w:val="auto"/>
              </w:rPr>
              <w:t>Inc.</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593"/>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20"/>
        </w:trPr>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
        </w:trPr>
        <w:tc>
          <w:tcPr>
            <w:tcW w:w="1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48"/>
        </w:trPr>
        <w:tc>
          <w:tcPr>
            <w:tcW w:w="1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 forma weighted</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r>
      <w:tr>
        <w:trPr>
          <w:trHeight w:val="148"/>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average common</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shares</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outstanding -</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 (Note 4.a)</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15"/>
        </w:trPr>
        <w:tc>
          <w:tcPr>
            <w:tcW w:w="1420" w:type="dxa"/>
            <w:vAlign w:val="bottom"/>
          </w:tcPr>
          <w:p>
            <w:pPr>
              <w:spacing w:after="0"/>
              <w:rPr>
                <w:sz w:val="20"/>
                <w:szCs w:val="20"/>
                <w:color w:val="auto"/>
              </w:rPr>
            </w:pPr>
            <w:r>
              <w:rPr>
                <w:rFonts w:ascii="Arial" w:cs="Arial" w:eastAsia="Arial" w:hAnsi="Arial"/>
                <w:sz w:val="13"/>
                <w:szCs w:val="13"/>
                <w:color w:val="auto"/>
              </w:rPr>
              <w:t>Pro forma weighted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tcPr>
          <w:p>
            <w:pPr>
              <w:ind w:left="220"/>
              <w:spacing w:after="0"/>
              <w:rPr>
                <w:sz w:val="20"/>
                <w:szCs w:val="20"/>
                <w:color w:val="auto"/>
              </w:rPr>
            </w:pPr>
            <w:r>
              <w:rPr>
                <w:rFonts w:ascii="Arial" w:cs="Arial" w:eastAsia="Arial" w:hAnsi="Arial"/>
                <w:sz w:val="13"/>
                <w:szCs w:val="13"/>
                <w:color w:val="auto"/>
              </w:rPr>
              <w:t>average common</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420" w:type="dxa"/>
            <w:vAlign w:val="bottom"/>
          </w:tcPr>
          <w:p>
            <w:pPr>
              <w:ind w:left="220"/>
              <w:spacing w:after="0"/>
              <w:rPr>
                <w:sz w:val="20"/>
                <w:szCs w:val="20"/>
                <w:color w:val="auto"/>
              </w:rPr>
            </w:pPr>
            <w:r>
              <w:rPr>
                <w:rFonts w:ascii="Arial" w:cs="Arial" w:eastAsia="Arial" w:hAnsi="Arial"/>
                <w:sz w:val="13"/>
                <w:szCs w:val="13"/>
                <w:color w:val="auto"/>
              </w:rPr>
              <w:t>shares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20" w:type="dxa"/>
            <w:vAlign w:val="bottom"/>
          </w:tcPr>
          <w:p>
            <w:pPr>
              <w:ind w:left="220"/>
              <w:spacing w:after="0"/>
              <w:rPr>
                <w:sz w:val="20"/>
                <w:szCs w:val="20"/>
                <w:color w:val="auto"/>
              </w:rPr>
            </w:pPr>
            <w:r>
              <w:rPr>
                <w:rFonts w:ascii="Arial" w:cs="Arial" w:eastAsia="Arial" w:hAnsi="Arial"/>
                <w:sz w:val="13"/>
                <w:szCs w:val="13"/>
                <w:color w:val="auto"/>
              </w:rPr>
              <w:t>outstanding -</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1420" w:type="dxa"/>
            <w:vAlign w:val="bottom"/>
          </w:tcPr>
          <w:p>
            <w:pPr>
              <w:ind w:left="220"/>
              <w:spacing w:after="0"/>
              <w:rPr>
                <w:sz w:val="20"/>
                <w:szCs w:val="20"/>
                <w:color w:val="auto"/>
              </w:rPr>
            </w:pPr>
            <w:r>
              <w:rPr>
                <w:rFonts w:ascii="Arial" w:cs="Arial" w:eastAsia="Arial" w:hAnsi="Arial"/>
                <w:sz w:val="13"/>
                <w:szCs w:val="13"/>
                <w:color w:val="auto"/>
              </w:rPr>
              <w:t>diluted (Note 4.a)</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55"/>
        </w:trPr>
        <w:tc>
          <w:tcPr>
            <w:tcW w:w="1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48"/>
        </w:trPr>
        <w:tc>
          <w:tcPr>
            <w:tcW w:w="1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 forma net income</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r>
      <w:tr>
        <w:trPr>
          <w:trHeight w:val="148"/>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per share -</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 (Note 4.a)</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15"/>
        </w:trPr>
        <w:tc>
          <w:tcPr>
            <w:tcW w:w="1420" w:type="dxa"/>
            <w:vAlign w:val="bottom"/>
          </w:tcPr>
          <w:p>
            <w:pPr>
              <w:spacing w:after="0"/>
              <w:rPr>
                <w:sz w:val="20"/>
                <w:szCs w:val="20"/>
                <w:color w:val="auto"/>
              </w:rPr>
            </w:pPr>
            <w:r>
              <w:rPr>
                <w:rFonts w:ascii="Arial" w:cs="Arial" w:eastAsia="Arial" w:hAnsi="Arial"/>
                <w:sz w:val="13"/>
                <w:szCs w:val="13"/>
                <w:color w:val="auto"/>
              </w:rPr>
              <w:t>Pro forma net income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tcPr>
          <w:p>
            <w:pPr>
              <w:ind w:left="220"/>
              <w:spacing w:after="0"/>
              <w:rPr>
                <w:sz w:val="20"/>
                <w:szCs w:val="20"/>
                <w:color w:val="auto"/>
              </w:rPr>
            </w:pPr>
            <w:r>
              <w:rPr>
                <w:rFonts w:ascii="Arial" w:cs="Arial" w:eastAsia="Arial" w:hAnsi="Arial"/>
                <w:sz w:val="13"/>
                <w:szCs w:val="13"/>
                <w:color w:val="auto"/>
              </w:rPr>
              <w:t>(loss) per share -</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1420" w:type="dxa"/>
            <w:vAlign w:val="bottom"/>
          </w:tcPr>
          <w:p>
            <w:pPr>
              <w:ind w:left="220"/>
              <w:spacing w:after="0"/>
              <w:rPr>
                <w:sz w:val="20"/>
                <w:szCs w:val="20"/>
                <w:color w:val="auto"/>
              </w:rPr>
            </w:pPr>
            <w:r>
              <w:rPr>
                <w:rFonts w:ascii="Arial" w:cs="Arial" w:eastAsia="Arial" w:hAnsi="Arial"/>
                <w:sz w:val="13"/>
                <w:szCs w:val="13"/>
                <w:color w:val="auto"/>
              </w:rPr>
              <w:t>diluted (Note 4.a)</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w:t>
      </w:r>
      <w:r>
        <w:rPr>
          <w:rFonts w:ascii="Arial" w:cs="Arial" w:eastAsia="Arial" w:hAnsi="Arial"/>
          <w:sz w:val="18"/>
          <w:szCs w:val="18"/>
          <w:i w:val="1"/>
          <w:iCs w:val="1"/>
          <w:color w:val="auto"/>
        </w:rPr>
        <w:t>e accompanying notes to unaudited pro forma consolidated financial information</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right="900"/>
        <w:spacing w:after="0" w:line="286"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This section presents management’s perspective on our financial condition and results of operations. The following discussion and analysis is intended to highlight and supplement data and information presented elsewhere in this prospectus, including the consolidated financial statements and related notes, and should be read in conjunction with the accompanying tables and our annual audited financial statements and notes thereto included elsewhere in this prospectus and the section titled “Prospectus summary—Summary consolidated financial and operating data.”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 Financial data as of and for the years ended December 31, 2019 and 2018 has been derived from the audited consolidated financial statements included elsewhere in this prospectus.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Management overview</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$1.4 billion in Transaction Value across our platform over the last two years.</w:t>
      </w:r>
    </w:p>
    <w:p>
      <w:pPr>
        <w:spacing w:after="0" w:line="1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LTV consumers, or an insurance-focused research destination looking to monetize the high-intent insurance shoppers on their websites. On a monthly basis, an average of 31.2 million consumers shop for insurance products through the websites of our diversified group of supply partners and our proprietary websites, driving an average of over 6.6 million Consumer Referrals on our platform for the year ended December 31, 2020.</w:t>
      </w:r>
    </w:p>
    <w:p>
      <w:pPr>
        <w:spacing w:after="0" w:line="10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generate revenue by earning a fee for each Consumer Referral sold on our platform. A transaction becomes payable only on a qualifying consumer action, such as a click, call or lead, and is not contingent on the sale of a product to the consumer.</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 aligning the interests of the parties participating on our platform.</w:t>
      </w:r>
    </w:p>
    <w:p>
      <w:pPr>
        <w:spacing w:after="0" w:line="10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35 separate consumer attributes to manage customized acquisition strategies.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Adjusted EBITDA, Contribution, and Contribution Margin are business and operating metrics that are not presented in accordance with GAAP. We use such metrics, together with financial measures prepared in accordance with GAAP, to measure our operating performance. See “— Key business and operating metrics” below. We also present Transaction Value, which is an operating metric not presented in accordance with GAAP. Although Transaction Value is a driver of revenue in accordance with GAAP, we do not believe Transaction Value is a financial measure because it only measures the gross transaction activity across our platform. Transaction activity on the platform translates to earnings that are recorded as revenue as described below under “—Key components of our results of operations—revenue.” As described below under “—Key business and operating metrics—Transaction value,” we present Transaction Value because we believe it is useful to investors to assess the overall level of activity on our platform and to better understand the sources of our revenue across our different transaction models and verticals.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Key factors affecting our business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4"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We believe that our future performance will depend on many factors, including those described below and in the section titled “Risk factors” included elsewhere in this prospectus.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Secular trends in the insurance industry</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Our technology platform was created to serve and grow with our core insurance end markets. As such, we believe secular trends in the insurance industry are a critical driver of our revenue and will continue to provide strong tailwinds for our business. More insurance consumers are shopping online and direct-to-consumer marketing, which fuels our revenue, is the fastest growing insurance distribution channel. In addition, insurance customer acquisition spending is growing. As mass-market customer acquisition spend is becoming more costly, insurance carriers and distributors are increasingly focusing on optimizing customer acquisition spend, which is at the core of the service we deliver on our platform. As long as these secular trends persist, we expect growth in digital insurance customer acquisition spend to continue, and we believe we are well-positioned to benefit from the industry’s growth.</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Value</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Transaction Value from open platform transactions is a direct driver of our revenue, while Transaction Value from private platform transactions is an indirect driver of our revenue (see “Key business and operating metrics” below). We have developed multi-faceted, deeply integrated partnerships with insurance carriers and distributors, who are often both buyers and sellers on our platform. We believe the versatility and breadth of our offerings, coupled with our focus on high-quality products, provide significant value to insurance carriers and distributors, resulting in strong retention rates. As a result, many insurance carriers and distributors use our platform as their central hub for broadly managing digital customer acquisition and monetization.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demand and supply partners</w:t>
      </w:r>
    </w:p>
    <w:p>
      <w:pPr>
        <w:spacing w:after="0" w:line="124" w:lineRule="exact"/>
        <w:rPr>
          <w:sz w:val="20"/>
          <w:szCs w:val="20"/>
          <w:color w:val="auto"/>
        </w:rPr>
      </w:pPr>
    </w:p>
    <w:p>
      <w:pPr>
        <w:ind w:left="120" w:right="180"/>
        <w:spacing w:after="0" w:line="275" w:lineRule="auto"/>
        <w:rPr>
          <w:sz w:val="20"/>
          <w:szCs w:val="20"/>
          <w:color w:val="auto"/>
        </w:rPr>
      </w:pPr>
      <w:r>
        <w:rPr>
          <w:rFonts w:ascii="Arial" w:cs="Arial" w:eastAsia="Arial" w:hAnsi="Arial"/>
          <w:sz w:val="16"/>
          <w:szCs w:val="16"/>
          <w:color w:val="auto"/>
        </w:rPr>
        <w:t>Our success depends on our ability to retain and grow the number of demand and supply partners on our platform. We retain and attract demand partners by finding high-quality sources of Consumer Referrals to make available to our demand partners. We seek to develop, acquire and retain relationships with high-quality supply partners by developing flexible platforms to enable our supply partners to maximize their revenue, manage their demand side relationships in scalable and flexible ways and focus on long-term sustainable economics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with respect to revenue share. Our relationships with our partners are deep, long standing and involve the top-tier insurance carriers in the industry. In terms of buyers, 15 of the top 20 largest auto insurance carriers by customer acquisition spend are on our platform. Approximately half of our supply partners have been on our platform since 2016.</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Referrals</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results also depend on the number of Consumer Referrals purchased on our platform. We seek to increase the number and scale of our supply relationships and drive consumers to our proprietary properties through a variety of paid traffic acquisition sources. We are investing in diversifying our paid media sources to extend beyond search engine marketing, which historically represented the bulk of our paid media spend, and into other online media sources, including native, social, and display advertising.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results are subject to significant fluctuation as a result of seasonality. For our quarters ending December 31, our property &amp; casualty insurance vertical is characterized by seasonal weakness due to lower supply of Consumer Referrals during the holiday period on a cost-effective basis and lower customer acquisition budgets from some buyers. In our quarters ending March 31, this trend generally reverses with greater supply of Consumer Referrals and often customer acquisition budgets at the beginning of the year for our partners with fiscal years ending December 31. Our quarters ending March 31 and December 31 are typically characterized by seasonal strength for our health insurance vertical due to open enrollment for health insurance and annual enrollment for Medicare, with a material increase in consumer search volume for health products and a related increase in buyer customer acquisition budgets.</w:t>
      </w:r>
    </w:p>
    <w:p>
      <w:pPr>
        <w:spacing w:after="0" w:line="101"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Other factors affecting our partners’ businesses include macro factors such as credit availability in the market, the strength of the economy and employment.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earnings may fluctuate from time to time as a result of federal, state, international and industry-based laws, directives and regulations and developing standards with respect to the enforcement of those regulations. Our business is affected directly because we operate websites, conduct telemarketing and email marketing and collect, process, store, share, disclose, transfer and use consumer information and other data. Our business is affected indirectly as our clients adjust their operations as a result of regulatory changes and enforcement activity within their industries. For example, the recent enactment of the CCPA, which became effective on January 1, 2020, may affect our business. While the CCPA has already been amended multiple times, it is unclear how this legislation will be further modified or how it will be interpreted. The effects of this legislation potentially are far-reaching, however, and may require us to modify our data processing practices and policies and incur substantial compliance-related costs and expenses. For a description of laws and regulations to which we are generally subject, see the section titled “Risk factors” included elsewhere in this prospectus.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and impact on travel</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2015, we began to expand into the travel vertical, which is ultimately driven by consumer spending on airfare, hotels, rentals and other travel products. However, as a result of COVID-19, we have experienced a dramatic decline in revenue from the travel vertical and expect this trend to continue indefinitely. For the year ended December 31, 2019 revenue from the travel vertical comprised approximately 11.1% of our total revenue.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While we have sought to maintain our commercial relationships in the travel vertical and remain positioned to capitalize on transactions in the travel vertical when travel activity resumes, we do not expect that revenue from the travel vertical will match our historical results or have any material impact on our overall revenue or profitability for the foreseeable future.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Key business and operating metrics</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addition to traditional financial metrics, we rely upon certain business and operating metrics that are not presented in accordance with GAAP to estimate the volume of spending on our platform, estimate and recognize revenue, evaluate our business performance and facilitate our operations. Such business and operating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define “Adjusted EBITDA” as net income excluding interest expense, income tax benefit (expense), depreciation expense on property and equipment, and amortization of intangible assets, as well as equity-based compensation expense and transaction expenses.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spacing w:after="0" w:line="10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benefit (expense) and depreciation and amortization. In addition, other companies may use other measures to evaluate their performance, including different definitions of “Adjusted EBITDA,” which could reduce the usefulness of our Adjusted EBITDA as a tool for comparison.</w:t>
      </w:r>
    </w:p>
    <w:p>
      <w:pPr>
        <w:spacing w:after="0" w:line="10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following table reconciles Adjusted EBITDA with net income, the most directly comparable financial measure calculated and presented in accordance with GAAP, for the year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vMerge w:val="continue"/>
          </w:tcPr>
          <w:p>
            <w:pPr>
              <w:spacing w:after="0"/>
              <w:rPr>
                <w:sz w:val="17"/>
                <w:szCs w:val="17"/>
                <w:color w:val="auto"/>
              </w:rPr>
            </w:pPr>
          </w:p>
        </w:tc>
        <w:tc>
          <w:tcPr>
            <w:tcW w:w="374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17,820</w:t>
            </w:r>
          </w:p>
        </w:tc>
        <w:tc>
          <w:tcPr>
            <w:tcW w:w="52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Equity-based compensation expense</w:t>
            </w: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3,594</w:t>
            </w:r>
          </w:p>
        </w:tc>
        <w:tc>
          <w:tcPr>
            <w:tcW w:w="5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3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7,021</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expense on property and equipment</w:t>
            </w:r>
          </w:p>
        </w:tc>
        <w:tc>
          <w:tcPr>
            <w:tcW w:w="3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5,381</w:t>
            </w:r>
          </w:p>
        </w:tc>
        <w:tc>
          <w:tcPr>
            <w:tcW w:w="5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Transaction expenses</w:t>
            </w:r>
          </w:p>
        </w:tc>
        <w:tc>
          <w:tcPr>
            <w:tcW w:w="37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8,831</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3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42,919</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740" w:type="dxa"/>
            <w:vAlign w:val="bottom"/>
          </w:tcPr>
          <w:p>
            <w:pPr>
              <w:spacing w:after="0"/>
              <w:rPr>
                <w:sz w:val="24"/>
                <w:szCs w:val="24"/>
                <w:color w:val="auto"/>
              </w:rPr>
            </w:pPr>
          </w:p>
        </w:tc>
        <w:tc>
          <w:tcPr>
            <w:tcW w:w="3740" w:type="dxa"/>
            <w:vAlign w:val="bottom"/>
          </w:tcPr>
          <w:p>
            <w:pPr>
              <w:jc w:val="right"/>
              <w:ind w:right="2792"/>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Contribution and Contribution Margin</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define “Contribution” as revenue less revenue share payments and online advertising costs, or, as reported in our consolidated statement of operations, revenue less cost of revenue (i.e., gross profit), as adjusted to exclude the following items from cost of revenue: equity-based compensation; salaries, wages, and related; internet and hosting;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Margin increases and our headcount costs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105" w:lineRule="exact"/>
        <w:rPr>
          <w:sz w:val="20"/>
          <w:szCs w:val="20"/>
          <w:color w:val="auto"/>
        </w:rPr>
      </w:pPr>
    </w:p>
    <w:p>
      <w:pPr>
        <w:ind w:left="120" w:right="760"/>
        <w:spacing w:after="0" w:line="239" w:lineRule="auto"/>
        <w:rPr>
          <w:sz w:val="20"/>
          <w:szCs w:val="20"/>
          <w:color w:val="auto"/>
        </w:rPr>
      </w:pPr>
      <w:r>
        <w:rPr>
          <w:rFonts w:ascii="Arial" w:cs="Arial" w:eastAsia="Arial" w:hAnsi="Arial"/>
          <w:sz w:val="18"/>
          <w:szCs w:val="18"/>
          <w:color w:val="auto"/>
        </w:rPr>
        <w:t>The following table reconciles Contribution and Contribution Margin with gross profit, the most directly comparable financial measure calculated and presented in accordance with GAAP,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vMerge w:val="continue"/>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480" w:type="dxa"/>
            <w:vAlign w:val="bottom"/>
            <w:gridSpan w:val="3"/>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408,005</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296,910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00" w:type="dxa"/>
            <w:vAlign w:val="bottom"/>
          </w:tcPr>
          <w:p>
            <w:pPr>
              <w:spacing w:after="0" w:line="202" w:lineRule="exact"/>
              <w:rPr>
                <w:sz w:val="20"/>
                <w:szCs w:val="20"/>
                <w:color w:val="auto"/>
              </w:rPr>
            </w:pPr>
            <w:r>
              <w:rPr>
                <w:rFonts w:ascii="Arial" w:cs="Arial" w:eastAsia="Arial" w:hAnsi="Arial"/>
                <w:sz w:val="18"/>
                <w:szCs w:val="18"/>
                <w:color w:val="auto"/>
              </w:rPr>
              <w:t>Less cost of revenue</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(342,909)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(247,670)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w:t>
            </w:r>
          </w:p>
        </w:tc>
        <w:tc>
          <w:tcPr>
            <w:tcW w:w="328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65,096</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Adjusted to exclude the following (as related to cost of revenue):</w:t>
            </w:r>
          </w:p>
        </w:tc>
        <w:tc>
          <w:tcPr>
            <w:tcW w:w="2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Equity-based compensation</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20"/>
              <w:spacing w:after="0" w:line="202" w:lineRule="exact"/>
              <w:rPr>
                <w:sz w:val="20"/>
                <w:szCs w:val="20"/>
                <w:color w:val="auto"/>
              </w:rPr>
            </w:pPr>
            <w:r>
              <w:rPr>
                <w:rFonts w:ascii="Arial" w:cs="Arial" w:eastAsia="Arial" w:hAnsi="Arial"/>
                <w:sz w:val="18"/>
                <w:szCs w:val="18"/>
                <w:color w:val="auto"/>
              </w:rPr>
              <w:t>Salaries, wages, and related</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1,471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Internet and hosting</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20"/>
              <w:spacing w:after="0" w:line="202" w:lineRule="exact"/>
              <w:rPr>
                <w:sz w:val="20"/>
                <w:szCs w:val="20"/>
                <w:color w:val="auto"/>
              </w:rPr>
            </w:pPr>
            <w:r>
              <w:rPr>
                <w:rFonts w:ascii="Arial" w:cs="Arial" w:eastAsia="Arial" w:hAnsi="Arial"/>
                <w:sz w:val="18"/>
                <w:szCs w:val="18"/>
                <w:color w:val="auto"/>
              </w:rPr>
              <w:t>Amortization</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20"/>
              <w:spacing w:after="0" w:line="202" w:lineRule="exact"/>
              <w:rPr>
                <w:sz w:val="20"/>
                <w:szCs w:val="20"/>
                <w:color w:val="auto"/>
              </w:rPr>
            </w:pPr>
            <w:r>
              <w:rPr>
                <w:rFonts w:ascii="Arial" w:cs="Arial" w:eastAsia="Arial" w:hAnsi="Arial"/>
                <w:sz w:val="18"/>
                <w:szCs w:val="18"/>
                <w:color w:val="auto"/>
              </w:rPr>
              <w:t>Other expenses</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services</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20"/>
              <w:spacing w:after="0" w:line="202" w:lineRule="exact"/>
              <w:rPr>
                <w:sz w:val="20"/>
                <w:szCs w:val="20"/>
                <w:color w:val="auto"/>
              </w:rPr>
            </w:pPr>
            <w:r>
              <w:rPr>
                <w:rFonts w:ascii="Arial" w:cs="Arial" w:eastAsia="Arial" w:hAnsi="Arial"/>
                <w:sz w:val="18"/>
                <w:szCs w:val="18"/>
                <w:color w:val="auto"/>
              </w:rPr>
              <w:t>Merchant-related fees</w:t>
            </w: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Contribution</w:t>
            </w:r>
          </w:p>
        </w:tc>
        <w:tc>
          <w:tcPr>
            <w:tcW w:w="348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69,294</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Gross Margin</w:t>
            </w: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Contribution Margin</w:t>
            </w:r>
          </w:p>
        </w:tc>
        <w:tc>
          <w:tcPr>
            <w:tcW w:w="2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200" w:type="dxa"/>
            <w:vAlign w:val="bottom"/>
          </w:tcPr>
          <w:p>
            <w:pPr>
              <w:spacing w:after="0"/>
              <w:rPr>
                <w:sz w:val="24"/>
                <w:szCs w:val="24"/>
                <w:color w:val="auto"/>
              </w:rPr>
            </w:pPr>
          </w:p>
        </w:tc>
        <w:tc>
          <w:tcPr>
            <w:tcW w:w="2980" w:type="dxa"/>
            <w:vAlign w:val="bottom"/>
          </w:tcPr>
          <w:p>
            <w:pPr>
              <w:jc w:val="right"/>
              <w:ind w:right="2492"/>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Value</w:t>
      </w:r>
    </w:p>
    <w:p>
      <w:pPr>
        <w:spacing w:after="0" w:line="124"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We define “Transaction Value” as the total gross dollars transacted by our partners on our platform. Transaction Value is a direct driver of revenue, with differing revenue recognition based on the economic relationship we have with our partners. Our partners use our platform to transact via open and private platform transactions. In our open platform model, revenue recognized represents the Transaction Value and revenue share payments to our supply partners represent costs of revenue. In our private platform model, revenue recognized represents a platform fee billed to the demand partner or supply partner based on an agreed-upon percentage of the Transaction Value for the Consumer Referrals transacted, and accordingly there are no associated costs of revenue. We utilize Transaction Value to assess revenue and to assess the overall level of transaction activity through our platform. We believe it is useful to investors to assess the overall level of activity on our platform and to better understand the sources of our revenue across our different transaction models and verticals.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Transaction Value by platform model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22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Open platform transactions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399,945</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291,331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Percentage of total Transaction Value</w:t>
            </w:r>
          </w:p>
        </w:tc>
        <w:tc>
          <w:tcPr>
            <w:tcW w:w="16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71.4%</w:t>
            </w: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platform transactions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160,181</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105,924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Percentage of total Transaction Value</w:t>
            </w:r>
          </w:p>
        </w:tc>
        <w:tc>
          <w:tcPr>
            <w:tcW w:w="16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28.6%</w:t>
            </w: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Transaction Value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560,126</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397,255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8580" w:type="dxa"/>
            <w:vAlign w:val="bottom"/>
          </w:tcPr>
          <w:p>
            <w:pPr>
              <w:spacing w:after="0"/>
              <w:rPr>
                <w:sz w:val="20"/>
                <w:szCs w:val="20"/>
                <w:color w:val="auto"/>
              </w:rPr>
            </w:pPr>
            <w:r>
              <w:rPr>
                <w:rFonts w:ascii="Arial" w:cs="Arial" w:eastAsia="Arial" w:hAnsi="Arial"/>
                <w:sz w:val="18"/>
                <w:szCs w:val="18"/>
                <w:color w:val="auto"/>
                <w:w w:val="98"/>
              </w:rPr>
              <w:t>The following table presents Transaction Value by vertical for the years ended December 31, 2019 and 2018.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22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Property &amp; casualty insurance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322,817</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225,930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Percentage of total Transaction Value</w:t>
            </w:r>
          </w:p>
        </w:tc>
        <w:tc>
          <w:tcPr>
            <w:tcW w:w="16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57.6%</w:t>
            </w: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Health insurance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122,320</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83,624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Percentage of total Transaction Value</w:t>
            </w:r>
          </w:p>
        </w:tc>
        <w:tc>
          <w:tcPr>
            <w:tcW w:w="16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21.8%</w:t>
            </w: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Life insurance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34,884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30,136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Percentage of total Transaction Value</w:t>
            </w:r>
          </w:p>
        </w:tc>
        <w:tc>
          <w:tcPr>
            <w:tcW w:w="16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6.2%</w:t>
            </w: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80,105</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57,565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Percentage of total Transaction Value</w:t>
            </w:r>
          </w:p>
        </w:tc>
        <w:tc>
          <w:tcPr>
            <w:tcW w:w="16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14.3%</w:t>
            </w: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Transaction Value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560,126</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397,255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Referrals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define “Consumer Referral” as any consumer click, call or lead purchased by a buyer on our platform. Click revenue is recognized on a pay-per-click basis and revenue is earned and recognized when a consumer clicks on a listed buyer’s advertisement, presented subsequent to the consumer’s search (e.g. auto insurance quote search or health insurance quote search). Call revenue is earned and recognized when a consumer transfers to a buyer and remains engaged for a requisite duration of time, as specified by each buyer. Lead revenue is recognized when we deliver data leads to buyers. Data leads are generated through insurance carriers or insurance-focused research destination websites who make the data leads available to buy through our platform or when users complete a full</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quote request on our proprietary websites. Delivery occurs at the time of lead transfer. The data we generate from each Consumer Referral feeds into our analytics model to generate conversion probabilities for each unique consumer, enabling discovery of predicted return and cost per sale across the platform and helping us to improve our platform technology. We monitor the number of Consumer Referrals on our platform in order to measure Transaction Value, revenue and overall business performance across our verticals and platform models.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demand and supply partners</w:t>
      </w:r>
    </w:p>
    <w:p>
      <w:pPr>
        <w:spacing w:after="0" w:line="124"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The aggregate number of demand and supply partners on our platform determines in part the level of Consumer Referral demand and supply on our platform. We use the number of demand and supply partners on our platform to evaluate our current business performance and future business prospects.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Key components of our results of operations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4"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We operate primarily in the property &amp; casualty insurance, health insurance and life insurance verticals and generate revenue through the purchase and sale of Consumer Referrals.</w:t>
      </w:r>
    </w:p>
    <w:p>
      <w:pPr>
        <w:spacing w:after="0" w:line="101"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price and amount of Consumer Referrals purchased and sold on our platform varies and is a function of a number of market conditions and consumer attributes, including (i) geographic location of consumers, (ii) demographic attributes of consumers, (iii) the source of Consumer Referrals and quality of conversion by source, (iv) buyer bids and (v) buyer demand and budget.</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our open platform transactions, we have control over the Consumer Referrals that are sold to our demand partners. In these arrangements, we have separate agreements with demand partners and suppliers. Suppliers are not party to the contractual arrangements with our demand partners, nor are the suppliers the beneficiaries of our demand partner agreements. We earn fees from our demand partners and separately pay (i) a revenue share to suppliers and (ii) a fee to internet search companies to drive consumers to our proprietary websites. We are the principal in the open platform transactions. As a result, the fees paid by demand partners are recognized as revenue and the fees paid to suppliers are included in cost of revenue.</w:t>
      </w:r>
    </w:p>
    <w:p>
      <w:pPr>
        <w:spacing w:after="0" w:line="10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With respect to our private platform transactions, buyers and suppliers contract with one another directly and leverage our platform to facilitate transparent, real-time transactions utilizing the reporting and analytical tools available to them from use of our platform. We charge a platform fee on the Consumer Referrals transacted. We act as an agent in the private platform transactions and recognize revenue on the platform fee received. There are no separate payments made by us to suppliers in our private platform.</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adopted ASC 606, Revenue from Contracts with Customers (“ASC 606”), which governs how we recognize revenue derived from Consumer Referrals. We recognize revenue when we transfer promised goods or services to clients in an amount that reflects the consideration to which we are entitled. We recognize revenue pursuant to the framework contained in ASC 606: (i) identify the contract with a client;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we satisfy the performance obligations.</w:t>
      </w:r>
    </w:p>
    <w:p>
      <w:pPr>
        <w:spacing w:after="0" w:line="10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Generally, our contracts with buyers specify a period of time covered and a budget governing spend limits. While contracts can specify a term, most of our contracts can be terminated at any time without penalty upon 30- or 60-days’ notice. As a result, the transaction price for the delivery of each Consumer Referral is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determined and recorded in real time and no estimation of variable consideration or future consideration is required. We satisfy our performance obligations as services are provided. We do not promise to provide any other significant goods or services to our partners after delivery and generally do not offer a right of return.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and operating expenses</w:t>
      </w:r>
    </w:p>
    <w:p>
      <w:pPr>
        <w:spacing w:after="0" w:line="124"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Cost and operating expenses consist primarily of cost of revenue, sales and marketing expenses, product expenses and general and administrative expenses.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cost of revenue is comprised primarily of revenue share payments to suppliers and traffic acquisition costs paid to top tier search engines as well as telephony infrastructure costs, internet and hosting, merchant fees, salaries and related expenses, amortization expense and other expenses.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Sales and marketing expenses consist primarily of an allocation of personnel expenses for employees engaged in demand side and supply side business development, marketing and media acquisition activities and includes salaries, wages and benefits, including non-cash equity-based compensation. Sales and marketing expenses also include costs related to attracting partners to our platform, including marketing and promotions, tradeshow and related travel and entertainment expenses. Sales and marketing expenses also include an allocated portion of rent and facilities expenses and depreciation and amortization expense.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24" w:lineRule="exact"/>
        <w:rPr>
          <w:sz w:val="20"/>
          <w:szCs w:val="20"/>
          <w:color w:val="auto"/>
        </w:rPr>
      </w:pPr>
    </w:p>
    <w:p>
      <w:pPr>
        <w:jc w:val="both"/>
        <w:ind w:left="120" w:right="180"/>
        <w:spacing w:after="0" w:line="281" w:lineRule="auto"/>
        <w:rPr>
          <w:sz w:val="20"/>
          <w:szCs w:val="20"/>
          <w:color w:val="auto"/>
        </w:rPr>
      </w:pPr>
      <w:r>
        <w:rPr>
          <w:rFonts w:ascii="Arial" w:cs="Arial" w:eastAsia="Arial" w:hAnsi="Arial"/>
          <w:sz w:val="16"/>
          <w:szCs w:val="16"/>
          <w:color w:val="auto"/>
        </w:rPr>
        <w:t>Product development expenses consist primarily of an allocation of personnel expenses for employees engaged in technology, engineering and product development and includes salaries, wages and benefits, including non-cash equity-based compensation. Product development expenses also include an allocated portion of rent and facilities expenses and depreciation and amortization expense.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4"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General and administrative expenses consist primarily of an allocation of personnel expenses for executive, finance, legal, human resources, and business analytics employees, and includes salaries, wages and benefits, including non-cash equity-based compensation. General and administrative expenses also include professional services and an allocated portion of rent and facilities expenses and depreciation expense.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w:t>
      </w:r>
    </w:p>
    <w:p>
      <w:pPr>
        <w:spacing w:after="0" w:line="124" w:lineRule="exact"/>
        <w:rPr>
          <w:sz w:val="20"/>
          <w:szCs w:val="20"/>
          <w:color w:val="auto"/>
        </w:rPr>
      </w:pPr>
    </w:p>
    <w:p>
      <w:pPr>
        <w:ind w:left="120" w:right="2320"/>
        <w:spacing w:after="0" w:line="239" w:lineRule="auto"/>
        <w:rPr>
          <w:sz w:val="20"/>
          <w:szCs w:val="20"/>
          <w:color w:val="auto"/>
        </w:rPr>
      </w:pPr>
      <w:r>
        <w:rPr>
          <w:rFonts w:ascii="Arial" w:cs="Arial" w:eastAsia="Arial" w:hAnsi="Arial"/>
          <w:sz w:val="18"/>
          <w:szCs w:val="18"/>
          <w:color w:val="auto"/>
        </w:rPr>
        <w:t>Other expenses consist of the loss on extinguishment recognized in connection with the termination of the 2019 Credit Facilities in 2020.</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Interest expense consists primarily of interest expense associated with outstanding borrowings under our loan and security agreements and the amortization of deferred financing costs and debt discounts associated with these arrangements. See “—Liquidity and capital resources— Financing activities” below.</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24"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Prior to the IPO reorganization and the IPO, the Company was not subject to corporate income taxation. As such, income tax expense recorded during 2020 reflected the expected tax expense on the net earnings subsequent to the IPO reorganization and the IPO related to MediaAlpha, Inc.’s economic interest in QLH.</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effective tax rate for the year ended December 31, 2020 was %, compared to the effective tax rate for the years ended December 31, 2019 and 2018 of 0.0% and 0.0%, respectively. The 2020 income tax benefit was different than the U.S. federal statutory income tax rate of 21% primarily due to QLH being treated as a partnership and MediaAlpha, Inc. being only responsible for paying taxes on its allocable share of income from the partnership. The 2019 and 2018 income tax expense was different than the U.S. federal statutory income tax rate of 21% primarily due to QLH being treated as a pass-through entity and generally not paying income tax on its taxable income. Instead, the members are liable for paying the tax on their proportionate share of tax. The change in the effective tax rate between the periods was primarily a result of a mix of earnings between entities and the change in the noncontrolling interest as a result of the IPO reorganization and the IPO.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attributable to Non-controlling interest</w:t>
      </w:r>
    </w:p>
    <w:p>
      <w:pPr>
        <w:spacing w:after="0" w:line="124"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Net income (loss) is attributed to non-controlling interests under the hypothetical liquidation at book value (“HLBV”). The non-controlling interests balance represents the Class B-1 Units held at QLH. The HLBV method is a point in time calculation that utilizes inputs to determine the amount that the non-controlling interest holders would receive upon a hypothetical liquidation at each balance sheet date based on the</w:t>
      </w:r>
    </w:p>
    <w:p>
      <w:pPr>
        <w:ind w:left="120" w:right="460"/>
        <w:spacing w:after="0" w:line="239" w:lineRule="auto"/>
        <w:rPr>
          <w:sz w:val="20"/>
          <w:szCs w:val="20"/>
          <w:color w:val="auto"/>
        </w:rPr>
      </w:pPr>
      <w:r>
        <w:rPr>
          <w:rFonts w:ascii="Arial" w:cs="Arial" w:eastAsia="Arial" w:hAnsi="Arial"/>
          <w:sz w:val="18"/>
          <w:szCs w:val="18"/>
          <w:color w:val="auto"/>
        </w:rPr>
        <w:t>liquidation provisions of the QLH LLC agreement. Net loss attributable to non-controlling interest was $ million for the year ended December 31, 2020 and $0.0 for the years ended December 31, 2019 and 2018.</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for the years ended December 31, 2019 and 2018</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operating results and related percentage of revenue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vMerge w:val="continue"/>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2019</w:t>
            </w:r>
          </w:p>
        </w:tc>
        <w:tc>
          <w:tcPr>
            <w:tcW w:w="1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800" w:type="dxa"/>
            <w:vAlign w:val="bottom"/>
            <w:gridSpan w:val="3"/>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$ 408,005</w:t>
            </w:r>
          </w:p>
        </w:tc>
        <w:tc>
          <w:tcPr>
            <w:tcW w:w="9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100.0%</w:t>
            </w:r>
          </w:p>
        </w:tc>
        <w:tc>
          <w:tcPr>
            <w:tcW w:w="116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$ 296,910</w:t>
            </w:r>
          </w:p>
        </w:tc>
        <w:tc>
          <w:tcPr>
            <w:tcW w:w="8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Cost of operating expenses</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revenue</w:t>
            </w:r>
          </w:p>
        </w:tc>
        <w:tc>
          <w:tcPr>
            <w:tcW w:w="3800" w:type="dxa"/>
            <w:vAlign w:val="bottom"/>
            <w:gridSpan w:val="3"/>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342,909</w:t>
            </w:r>
          </w:p>
        </w:tc>
        <w:tc>
          <w:tcPr>
            <w:tcW w:w="9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84.0%</w:t>
            </w:r>
          </w:p>
        </w:tc>
        <w:tc>
          <w:tcPr>
            <w:tcW w:w="11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247,670</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3800" w:type="dxa"/>
            <w:vAlign w:val="bottom"/>
            <w:gridSpan w:val="3"/>
          </w:tcPr>
          <w:p>
            <w:pPr>
              <w:jc w:val="right"/>
              <w:ind w:right="112"/>
              <w:spacing w:after="0" w:line="202" w:lineRule="exact"/>
              <w:rPr>
                <w:sz w:val="20"/>
                <w:szCs w:val="20"/>
                <w:color w:val="auto"/>
              </w:rPr>
            </w:pPr>
            <w:r>
              <w:rPr>
                <w:rFonts w:ascii="Arial" w:cs="Arial" w:eastAsia="Arial" w:hAnsi="Arial"/>
                <w:sz w:val="18"/>
                <w:szCs w:val="18"/>
                <w:color w:val="auto"/>
              </w:rPr>
              <w:t>13,822</w:t>
            </w:r>
          </w:p>
        </w:tc>
        <w:tc>
          <w:tcPr>
            <w:tcW w:w="9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3.4%</w:t>
            </w:r>
          </w:p>
        </w:tc>
        <w:tc>
          <w:tcPr>
            <w:tcW w:w="11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11,739</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Product development</w:t>
            </w:r>
          </w:p>
        </w:tc>
        <w:tc>
          <w:tcPr>
            <w:tcW w:w="3800" w:type="dxa"/>
            <w:vAlign w:val="bottom"/>
            <w:gridSpan w:val="3"/>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7,042</w:t>
            </w:r>
          </w:p>
        </w:tc>
        <w:tc>
          <w:tcPr>
            <w:tcW w:w="9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w:t>
            </w:r>
          </w:p>
        </w:tc>
        <w:tc>
          <w:tcPr>
            <w:tcW w:w="11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10,339</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780" w:type="dxa"/>
            <w:vAlign w:val="bottom"/>
            <w:gridSpan w:val="2"/>
          </w:tcPr>
          <w:p>
            <w:pPr>
              <w:spacing w:after="0"/>
              <w:rPr>
                <w:sz w:val="18"/>
                <w:szCs w:val="18"/>
                <w:color w:val="auto"/>
              </w:rPr>
            </w:pPr>
          </w:p>
        </w:tc>
        <w:tc>
          <w:tcPr>
            <w:tcW w:w="10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19,391</w:t>
            </w:r>
          </w:p>
        </w:tc>
        <w:tc>
          <w:tcPr>
            <w:tcW w:w="9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w:t>
            </w:r>
          </w:p>
        </w:tc>
        <w:tc>
          <w:tcPr>
            <w:tcW w:w="11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7,843</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cost and operating expenses</w:t>
            </w:r>
          </w:p>
        </w:tc>
        <w:tc>
          <w:tcPr>
            <w:tcW w:w="2780" w:type="dxa"/>
            <w:vAlign w:val="bottom"/>
            <w:gridSpan w:val="2"/>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383,164</w:t>
            </w:r>
          </w:p>
        </w:tc>
        <w:tc>
          <w:tcPr>
            <w:tcW w:w="940" w:type="dxa"/>
            <w:vAlign w:val="bottom"/>
            <w:tcBorders>
              <w:top w:val="single" w:sz="8" w:color="auto"/>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93.9%</w:t>
            </w:r>
          </w:p>
        </w:tc>
        <w:tc>
          <w:tcPr>
            <w:tcW w:w="1160" w:type="dxa"/>
            <w:vAlign w:val="bottom"/>
            <w:tcBorders>
              <w:top w:val="single" w:sz="8" w:color="auto"/>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277,591</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4240" w:type="dxa"/>
            <w:vAlign w:val="bottom"/>
          </w:tcPr>
          <w:p>
            <w:pPr>
              <w:spacing w:after="0"/>
              <w:rPr>
                <w:sz w:val="24"/>
                <w:szCs w:val="24"/>
                <w:color w:val="auto"/>
              </w:rPr>
            </w:pPr>
          </w:p>
        </w:tc>
        <w:tc>
          <w:tcPr>
            <w:tcW w:w="2580" w:type="dxa"/>
            <w:vAlign w:val="bottom"/>
          </w:tcPr>
          <w:p>
            <w:pPr>
              <w:jc w:val="right"/>
              <w:ind w:right="113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10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24,841</w:t>
            </w:r>
          </w:p>
        </w:tc>
        <w:tc>
          <w:tcPr>
            <w:tcW w:w="74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6.1%</w:t>
            </w:r>
          </w:p>
        </w:tc>
        <w:tc>
          <w:tcPr>
            <w:tcW w:w="1040" w:type="dxa"/>
            <w:vAlign w:val="bottom"/>
            <w:gridSpan w:val="3"/>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19,319</w:t>
            </w:r>
          </w:p>
        </w:tc>
        <w:tc>
          <w:tcPr>
            <w:tcW w:w="5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0.0%</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ind w:left="420"/>
              <w:spacing w:after="0"/>
              <w:rPr>
                <w:sz w:val="20"/>
                <w:szCs w:val="20"/>
                <w:color w:val="auto"/>
              </w:rPr>
            </w:pPr>
            <w:r>
              <w:rPr>
                <w:rFonts w:ascii="Arial" w:cs="Arial" w:eastAsia="Arial" w:hAnsi="Arial"/>
                <w:sz w:val="18"/>
                <w:szCs w:val="18"/>
                <w:color w:val="auto"/>
              </w:rPr>
              <w:t>Total other expense</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17,820</w:t>
            </w:r>
          </w:p>
        </w:tc>
        <w:tc>
          <w:tcPr>
            <w:tcW w:w="7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10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18,125</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0.0%</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$17,820</w:t>
            </w:r>
          </w:p>
        </w:tc>
        <w:tc>
          <w:tcPr>
            <w:tcW w:w="7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10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$18,125</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0.0%</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 attributable to MediaAlpha, Inc.</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17,820</w:t>
            </w:r>
          </w:p>
        </w:tc>
        <w:tc>
          <w:tcPr>
            <w:tcW w:w="7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10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18,125</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7"/>
        </w:trPr>
        <w:tc>
          <w:tcPr>
            <w:tcW w:w="7700" w:type="dxa"/>
            <w:vAlign w:val="bottom"/>
          </w:tcPr>
          <w:p>
            <w:pPr>
              <w:ind w:left="220"/>
              <w:spacing w:after="0"/>
              <w:rPr>
                <w:sz w:val="20"/>
                <w:szCs w:val="20"/>
                <w:color w:val="auto"/>
              </w:rPr>
            </w:pPr>
            <w:r>
              <w:rPr>
                <w:rFonts w:ascii="Arial" w:cs="Arial" w:eastAsia="Arial" w:hAnsi="Arial"/>
                <w:sz w:val="18"/>
                <w:szCs w:val="18"/>
                <w:color w:val="auto"/>
              </w:rPr>
              <w:t>Net (loss) per share of Class A common stock-basic and diluted</w:t>
            </w:r>
          </w:p>
        </w:tc>
        <w:tc>
          <w:tcPr>
            <w:tcW w:w="22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Weighted average shares of Class A common stock outstanding-basic and diluted</w:t>
            </w:r>
          </w:p>
        </w:tc>
        <w:tc>
          <w:tcPr>
            <w:tcW w:w="2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4"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The following table presents our revenue, disaggregated by vertical,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jc w:val="right"/>
              <w:ind w:right="212"/>
              <w:spacing w:after="0"/>
              <w:rPr>
                <w:sz w:val="20"/>
                <w:szCs w:val="20"/>
                <w:color w:val="auto"/>
              </w:rPr>
            </w:pPr>
            <w:r>
              <w:rPr>
                <w:rFonts w:ascii="Arial" w:cs="Arial" w:eastAsia="Arial" w:hAnsi="Arial"/>
                <w:sz w:val="18"/>
                <w:szCs w:val="18"/>
                <w:b w:val="1"/>
                <w:bCs w:val="1"/>
                <w:color w:val="auto"/>
              </w:rPr>
              <w:t>Year ended</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0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b w:val="1"/>
                <w:bCs w:val="1"/>
                <w:color w:val="auto"/>
              </w:rPr>
              <w:t>December 31, 2019</w:t>
            </w: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9"/>
              </w:rPr>
              <w:t>December 31, 2018</w:t>
            </w: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Property &amp; casualty insurance</w:t>
            </w:r>
          </w:p>
        </w:tc>
        <w:tc>
          <w:tcPr>
            <w:tcW w:w="1600" w:type="dxa"/>
            <w:vAlign w:val="bottom"/>
            <w:shd w:val="clear" w:color="auto" w:fill="CCEEFF"/>
          </w:tcPr>
          <w:p>
            <w:pPr>
              <w:ind w:left="12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219,467</w:t>
            </w:r>
          </w:p>
        </w:tc>
        <w:tc>
          <w:tcPr>
            <w:tcW w:w="13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$ 57,379</w:t>
            </w:r>
          </w:p>
        </w:tc>
        <w:tc>
          <w:tcPr>
            <w:tcW w:w="11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35.4%</w:t>
            </w:r>
          </w:p>
        </w:tc>
        <w:tc>
          <w:tcPr>
            <w:tcW w:w="66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162,088</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Percentage of revenue</w:t>
            </w:r>
          </w:p>
        </w:tc>
        <w:tc>
          <w:tcPr>
            <w:tcW w:w="1600" w:type="dxa"/>
            <w:vAlign w:val="bottom"/>
          </w:tcPr>
          <w:p>
            <w:pPr>
              <w:spacing w:after="0"/>
              <w:rPr>
                <w:sz w:val="17"/>
                <w:szCs w:val="17"/>
                <w:color w:val="auto"/>
              </w:rPr>
            </w:pPr>
          </w:p>
        </w:tc>
        <w:tc>
          <w:tcPr>
            <w:tcW w:w="15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53.8%</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54.6%</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Health insurance</w:t>
            </w: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104,261</w:t>
            </w:r>
          </w:p>
        </w:tc>
        <w:tc>
          <w:tcPr>
            <w:tcW w:w="13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32,824</w:t>
            </w:r>
          </w:p>
        </w:tc>
        <w:tc>
          <w:tcPr>
            <w:tcW w:w="11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45.9%</w:t>
            </w:r>
          </w:p>
        </w:tc>
        <w:tc>
          <w:tcPr>
            <w:tcW w:w="6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71,437</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Percentage of revenue</w:t>
            </w:r>
          </w:p>
        </w:tc>
        <w:tc>
          <w:tcPr>
            <w:tcW w:w="1600" w:type="dxa"/>
            <w:vAlign w:val="bottom"/>
          </w:tcPr>
          <w:p>
            <w:pPr>
              <w:spacing w:after="0"/>
              <w:rPr>
                <w:sz w:val="17"/>
                <w:szCs w:val="17"/>
                <w:color w:val="auto"/>
              </w:rPr>
            </w:pPr>
          </w:p>
        </w:tc>
        <w:tc>
          <w:tcPr>
            <w:tcW w:w="15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25.6%</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24.1%</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Life insurance</w:t>
            </w: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33,012</w:t>
            </w:r>
          </w:p>
        </w:tc>
        <w:tc>
          <w:tcPr>
            <w:tcW w:w="13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4,470</w:t>
            </w:r>
          </w:p>
        </w:tc>
        <w:tc>
          <w:tcPr>
            <w:tcW w:w="11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15.7%</w:t>
            </w:r>
          </w:p>
        </w:tc>
        <w:tc>
          <w:tcPr>
            <w:tcW w:w="6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28,542</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Percentage of revenue</w:t>
            </w:r>
          </w:p>
        </w:tc>
        <w:tc>
          <w:tcPr>
            <w:tcW w:w="1600" w:type="dxa"/>
            <w:vAlign w:val="bottom"/>
          </w:tcPr>
          <w:p>
            <w:pPr>
              <w:spacing w:after="0"/>
              <w:rPr>
                <w:sz w:val="17"/>
                <w:szCs w:val="17"/>
                <w:color w:val="auto"/>
              </w:rPr>
            </w:pPr>
          </w:p>
        </w:tc>
        <w:tc>
          <w:tcPr>
            <w:tcW w:w="15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8.1%</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51,265</w:t>
            </w:r>
          </w:p>
        </w:tc>
        <w:tc>
          <w:tcPr>
            <w:tcW w:w="13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16,422</w:t>
            </w:r>
          </w:p>
        </w:tc>
        <w:tc>
          <w:tcPr>
            <w:tcW w:w="11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47.1%</w:t>
            </w:r>
          </w:p>
        </w:tc>
        <w:tc>
          <w:tcPr>
            <w:tcW w:w="6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34,843</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Percentage of revenue</w:t>
            </w:r>
          </w:p>
        </w:tc>
        <w:tc>
          <w:tcPr>
            <w:tcW w:w="1600" w:type="dxa"/>
            <w:vAlign w:val="bottom"/>
          </w:tcPr>
          <w:p>
            <w:pPr>
              <w:spacing w:after="0"/>
              <w:rPr>
                <w:sz w:val="17"/>
                <w:szCs w:val="17"/>
                <w:color w:val="auto"/>
              </w:rPr>
            </w:pPr>
          </w:p>
        </w:tc>
        <w:tc>
          <w:tcPr>
            <w:tcW w:w="15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12.6%</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w:t>
            </w:r>
          </w:p>
        </w:tc>
      </w:tr>
      <w:tr>
        <w:trPr>
          <w:trHeight w:val="202"/>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408,005</w:t>
            </w:r>
          </w:p>
        </w:tc>
        <w:tc>
          <w:tcPr>
            <w:tcW w:w="13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111,095</w:t>
            </w:r>
          </w:p>
        </w:tc>
        <w:tc>
          <w:tcPr>
            <w:tcW w:w="11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37.4%</w:t>
            </w:r>
          </w:p>
        </w:tc>
        <w:tc>
          <w:tcPr>
            <w:tcW w:w="6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296,910</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compared to 2018</w:t>
      </w:r>
    </w:p>
    <w:p>
      <w:pPr>
        <w:spacing w:after="0" w:line="10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Property &amp; casualty insurance revenue increased $57.4 million, or 35.4%, from $162.1 million for the year ended December 31, 2018. The increase was due to an increase in spend from auto insurance carriers, driven by improving carrier profitability and the growing trend of property &amp; casualty insurance carriers allocating customer acquisition budgets to the DTC channel, which in turn allowed our supply partners to drive more consumers through their websites. These dynamics led to a period over period increase in supply from both new and existing supply partners.</w:t>
      </w:r>
    </w:p>
    <w:p>
      <w:pPr>
        <w:spacing w:after="0" w:line="10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Health insurance revenue increased $32.8 million, or 45.9%, from $71.4 million for the year ended December 31, 2018. This increase was driven by increased customer acquisition budget allocation from health insurance carriers, which in turn allowed our supply partners to drive more consumers through their websites, and increased supply from our proprietary properties as we increased the volume of media spend to satisfy the increased demand.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Life insurance revenue increased $4.5 million, or 15.7%, from $28.5 million for the year ended December 31, 2018. This increase was driven by increased customer acquisition budget allocation from life insurance carriers, which in turn led to improved monetization and allowed our supply partners to drive more consumers through their websites.</w:t>
      </w:r>
    </w:p>
    <w:p>
      <w:pPr>
        <w:spacing w:after="0" w:line="100"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Other revenue increased $16.4 million, or 47.1%, from $34.8 million for the year ended December 31, 2018. This increase was driven primarily by growth in our travel vertical as we increased our market share with new supply partners. For the year ended December 31, 2019, revenue from travel grew to $45.2 million from $26.9 million for the year ended December 31,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4"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The following table presents our cost of revenue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Year ended</w:t>
            </w:r>
          </w:p>
        </w:tc>
      </w:tr>
      <w:tr>
        <w:trPr>
          <w:trHeight w:val="22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December 31, 2019</w:t>
            </w: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 2018</w:t>
            </w: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66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342,909</w:t>
            </w:r>
          </w:p>
        </w:tc>
        <w:tc>
          <w:tcPr>
            <w:tcW w:w="11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$95,239</w:t>
            </w:r>
          </w:p>
        </w:tc>
        <w:tc>
          <w:tcPr>
            <w:tcW w:w="102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38.5%</w:t>
            </w:r>
          </w:p>
        </w:tc>
        <w:tc>
          <w:tcPr>
            <w:tcW w:w="6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247,670</w:t>
            </w:r>
          </w:p>
        </w:tc>
        <w:tc>
          <w:tcPr>
            <w:tcW w:w="60" w:type="dxa"/>
            <w:vAlign w:val="bottom"/>
            <w:shd w:val="clear" w:color="auto" w:fill="CCEEFF"/>
          </w:tcPr>
          <w:p>
            <w:pPr>
              <w:spacing w:after="0"/>
              <w:rPr>
                <w:sz w:val="17"/>
                <w:szCs w:val="17"/>
                <w:color w:val="auto"/>
              </w:rPr>
            </w:pPr>
          </w:p>
        </w:tc>
      </w:tr>
      <w:tr>
        <w:trPr>
          <w:trHeight w:val="215"/>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percentage of total revenue</w:t>
            </w:r>
          </w:p>
        </w:tc>
        <w:tc>
          <w:tcPr>
            <w:tcW w:w="16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84.0%</w:t>
            </w:r>
          </w:p>
        </w:tc>
        <w:tc>
          <w:tcPr>
            <w:tcW w:w="1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8"/>
                <w:szCs w:val="18"/>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compared to 2018</w:t>
      </w:r>
    </w:p>
    <w:p>
      <w:pPr>
        <w:spacing w:after="0" w:line="10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For the year ended December 31, 2019, cost of revenue increased by $95.2 million, or 38.5%, from $247.7 million for the year ended December 31, 2018. The increase was driven primarily by the increase in revenue and corresponding increase in revenue share payments to suppliers of $74.4 million as supply partners increased volume. Additionally, there was an increase of $20.2 million in media costs as we increased paid media acquisition to drive more consumers to our proprietary websites to meet buyer demand.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we experience growth in revenue, we expect the relationship between our costs and revenue to remain in line with our historical results.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4" w:lineRule="exact"/>
        <w:rPr>
          <w:sz w:val="20"/>
          <w:szCs w:val="20"/>
          <w:color w:val="auto"/>
        </w:rPr>
      </w:pPr>
    </w:p>
    <w:p>
      <w:pPr>
        <w:ind w:left="120" w:right="740"/>
        <w:spacing w:after="0" w:line="239" w:lineRule="auto"/>
        <w:rPr>
          <w:sz w:val="20"/>
          <w:szCs w:val="20"/>
          <w:color w:val="auto"/>
        </w:rPr>
      </w:pPr>
      <w:r>
        <w:rPr>
          <w:rFonts w:ascii="Arial" w:cs="Arial" w:eastAsia="Arial" w:hAnsi="Arial"/>
          <w:sz w:val="18"/>
          <w:szCs w:val="18"/>
          <w:color w:val="auto"/>
        </w:rPr>
        <w:t>The following table presents our sales and marketing expenses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jc w:val="right"/>
              <w:ind w:right="192"/>
              <w:spacing w:after="0"/>
              <w:rPr>
                <w:sz w:val="20"/>
                <w:szCs w:val="20"/>
                <w:color w:val="auto"/>
              </w:rPr>
            </w:pPr>
            <w:r>
              <w:rPr>
                <w:rFonts w:ascii="Arial" w:cs="Arial" w:eastAsia="Arial" w:hAnsi="Arial"/>
                <w:sz w:val="18"/>
                <w:szCs w:val="18"/>
                <w:b w:val="1"/>
                <w:bCs w:val="1"/>
                <w:color w:val="auto"/>
              </w:rPr>
              <w:t>Year ended</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Year ended</w:t>
            </w:r>
          </w:p>
        </w:tc>
      </w:tr>
      <w:tr>
        <w:trPr>
          <w:trHeight w:val="221"/>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December 31, 2019</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 2018</w:t>
            </w: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13,822</w:t>
            </w:r>
          </w:p>
        </w:tc>
        <w:tc>
          <w:tcPr>
            <w:tcW w:w="11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$2,083</w:t>
            </w:r>
          </w:p>
        </w:tc>
        <w:tc>
          <w:tcPr>
            <w:tcW w:w="108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17.7%</w:t>
            </w:r>
          </w:p>
        </w:tc>
        <w:tc>
          <w:tcPr>
            <w:tcW w:w="66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11,739</w:t>
            </w:r>
          </w:p>
        </w:tc>
        <w:tc>
          <w:tcPr>
            <w:tcW w:w="60" w:type="dxa"/>
            <w:vAlign w:val="bottom"/>
            <w:shd w:val="clear" w:color="auto" w:fill="CCEEFF"/>
          </w:tcPr>
          <w:p>
            <w:pPr>
              <w:spacing w:after="0"/>
              <w:rPr>
                <w:sz w:val="17"/>
                <w:szCs w:val="17"/>
                <w:color w:val="auto"/>
              </w:rPr>
            </w:pPr>
          </w:p>
        </w:tc>
      </w:tr>
      <w:tr>
        <w:trPr>
          <w:trHeight w:val="215"/>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percentage of total revenue</w:t>
            </w:r>
          </w:p>
        </w:tc>
        <w:tc>
          <w:tcPr>
            <w:tcW w:w="16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3.4%</w:t>
            </w: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bl>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compared to 2018</w:t>
      </w:r>
    </w:p>
    <w:p>
      <w:pPr>
        <w:spacing w:after="0" w:line="104" w:lineRule="exact"/>
        <w:rPr>
          <w:sz w:val="20"/>
          <w:szCs w:val="20"/>
          <w:color w:val="auto"/>
        </w:rPr>
      </w:pPr>
    </w:p>
    <w:p>
      <w:pPr>
        <w:ind w:left="120" w:right="280"/>
        <w:spacing w:after="0" w:line="236" w:lineRule="auto"/>
        <w:rPr>
          <w:sz w:val="20"/>
          <w:szCs w:val="20"/>
          <w:color w:val="auto"/>
        </w:rPr>
      </w:pPr>
      <w:r>
        <w:rPr>
          <w:rFonts w:ascii="Arial" w:cs="Arial" w:eastAsia="Arial" w:hAnsi="Arial"/>
          <w:sz w:val="18"/>
          <w:szCs w:val="18"/>
          <w:color w:val="auto"/>
        </w:rPr>
        <w:t>For the year ended December 31, 2019, sales and marketing expenses increased by $2.1 million, or 17.7%, from $11.7 million for the year ended December 31, 2018. The increase in sales and marketing expense was primarily due to the increase in equity-based compensation expense of $1.0 million and an increase in personnel-related costs of $1.4 million, as we increased our headcount to support current and future growth of the business, and an increase in other expense of $0.1 million, partially offset by a decrease in amortization expense of $0.4 million, as certain intangible assets were fully amortized.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24" w:lineRule="exact"/>
        <w:rPr>
          <w:sz w:val="20"/>
          <w:szCs w:val="20"/>
          <w:color w:val="auto"/>
        </w:rPr>
      </w:pPr>
    </w:p>
    <w:p>
      <w:pPr>
        <w:ind w:left="120" w:right="620"/>
        <w:spacing w:after="0" w:line="239" w:lineRule="auto"/>
        <w:rPr>
          <w:sz w:val="20"/>
          <w:szCs w:val="20"/>
          <w:color w:val="auto"/>
        </w:rPr>
      </w:pPr>
      <w:r>
        <w:rPr>
          <w:rFonts w:ascii="Arial" w:cs="Arial" w:eastAsia="Arial" w:hAnsi="Arial"/>
          <w:sz w:val="18"/>
          <w:szCs w:val="18"/>
          <w:color w:val="auto"/>
        </w:rPr>
        <w:t>The following table presents our product development expenses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December 31, 2019</w:t>
            </w: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 2018</w:t>
            </w: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Product development</w:t>
            </w:r>
          </w:p>
        </w:tc>
        <w:tc>
          <w:tcPr>
            <w:tcW w:w="156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7,042</w:t>
            </w:r>
          </w:p>
        </w:tc>
        <w:tc>
          <w:tcPr>
            <w:tcW w:w="124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$(3,297)</w:t>
            </w:r>
          </w:p>
        </w:tc>
        <w:tc>
          <w:tcPr>
            <w:tcW w:w="11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-31.9%</w:t>
            </w:r>
          </w:p>
        </w:tc>
        <w:tc>
          <w:tcPr>
            <w:tcW w:w="64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10,339</w:t>
            </w:r>
          </w:p>
        </w:tc>
        <w:tc>
          <w:tcPr>
            <w:tcW w:w="60" w:type="dxa"/>
            <w:vAlign w:val="bottom"/>
            <w:shd w:val="clear" w:color="auto" w:fill="CCEEFF"/>
          </w:tcPr>
          <w:p>
            <w:pPr>
              <w:spacing w:after="0"/>
              <w:rPr>
                <w:sz w:val="17"/>
                <w:szCs w:val="17"/>
                <w:color w:val="auto"/>
              </w:rPr>
            </w:pPr>
          </w:p>
        </w:tc>
      </w:tr>
      <w:tr>
        <w:trPr>
          <w:trHeight w:val="21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percentage of total revenue</w:t>
            </w:r>
          </w:p>
        </w:tc>
        <w:tc>
          <w:tcPr>
            <w:tcW w:w="1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compared to 2018</w:t>
      </w:r>
    </w:p>
    <w:p>
      <w:pPr>
        <w:spacing w:after="0" w:line="126" w:lineRule="exact"/>
        <w:rPr>
          <w:sz w:val="20"/>
          <w:szCs w:val="20"/>
          <w:color w:val="auto"/>
        </w:rPr>
      </w:pPr>
    </w:p>
    <w:p>
      <w:pPr>
        <w:ind w:left="120" w:right="160"/>
        <w:spacing w:after="0" w:line="264" w:lineRule="auto"/>
        <w:rPr>
          <w:sz w:val="20"/>
          <w:szCs w:val="20"/>
          <w:color w:val="auto"/>
        </w:rPr>
      </w:pPr>
      <w:r>
        <w:rPr>
          <w:rFonts w:ascii="Arial" w:cs="Arial" w:eastAsia="Arial" w:hAnsi="Arial"/>
          <w:sz w:val="16"/>
          <w:szCs w:val="16"/>
          <w:color w:val="auto"/>
        </w:rPr>
        <w:t>For the year ended December 31, 2019, product development expenses decreased by $3.3 million, or 31.9%, from $10.3 million for the year ended December 31, 2018. The decrease in product development expense was primarily due to the decrease in amortization expense of $5.8 million, as certain intangible assets were fully amortized. This decrease was offset by an increase in personnel-related costs of</w:t>
      </w:r>
    </w:p>
    <w:p>
      <w:pPr>
        <w:ind w:left="120" w:right="340"/>
        <w:spacing w:after="0" w:line="239" w:lineRule="auto"/>
        <w:rPr>
          <w:sz w:val="20"/>
          <w:szCs w:val="20"/>
          <w:color w:val="auto"/>
        </w:rPr>
      </w:pPr>
      <w:r>
        <w:rPr>
          <w:rFonts w:ascii="Arial" w:cs="Arial" w:eastAsia="Arial" w:hAnsi="Arial"/>
          <w:sz w:val="18"/>
          <w:szCs w:val="18"/>
          <w:color w:val="auto"/>
        </w:rPr>
        <w:t>$1.9 million, as we continued to hire engineering and product development talent to further enhance our technology, an increase in equity-based compensation of $0.4 million, and other expenses of $0.2 million.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4"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The following table presents our general and administrative expenses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tcPr>
          <w:p>
            <w:pPr>
              <w:jc w:val="right"/>
              <w:ind w:right="192"/>
              <w:spacing w:after="0"/>
              <w:rPr>
                <w:sz w:val="20"/>
                <w:szCs w:val="20"/>
                <w:color w:val="auto"/>
              </w:rPr>
            </w:pPr>
            <w:r>
              <w:rPr>
                <w:rFonts w:ascii="Arial" w:cs="Arial" w:eastAsia="Arial" w:hAnsi="Arial"/>
                <w:sz w:val="18"/>
                <w:szCs w:val="18"/>
                <w:b w:val="1"/>
                <w:bCs w:val="1"/>
                <w:color w:val="auto"/>
              </w:rPr>
              <w:t>Year ended</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December 31, 2019</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 2018</w:t>
            </w: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19,391</w:t>
            </w:r>
          </w:p>
        </w:tc>
        <w:tc>
          <w:tcPr>
            <w:tcW w:w="12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$11,548</w:t>
            </w:r>
          </w:p>
        </w:tc>
        <w:tc>
          <w:tcPr>
            <w:tcW w:w="11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147.2%</w:t>
            </w:r>
          </w:p>
        </w:tc>
        <w:tc>
          <w:tcPr>
            <w:tcW w:w="64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7,843</w:t>
            </w:r>
          </w:p>
        </w:tc>
        <w:tc>
          <w:tcPr>
            <w:tcW w:w="60" w:type="dxa"/>
            <w:vAlign w:val="bottom"/>
            <w:shd w:val="clear" w:color="auto" w:fill="CCEEFF"/>
          </w:tcPr>
          <w:p>
            <w:pPr>
              <w:spacing w:after="0"/>
              <w:rPr>
                <w:sz w:val="17"/>
                <w:szCs w:val="17"/>
                <w:color w:val="auto"/>
              </w:rPr>
            </w:pPr>
          </w:p>
        </w:tc>
      </w:tr>
      <w:tr>
        <w:trPr>
          <w:trHeight w:val="21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percentage of total revenue</w:t>
            </w:r>
          </w:p>
        </w:tc>
        <w:tc>
          <w:tcPr>
            <w:tcW w:w="1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4.8%</w:t>
            </w:r>
          </w:p>
        </w:tc>
        <w:tc>
          <w:tcPr>
            <w:tcW w:w="1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bl>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compared to 2018</w:t>
      </w:r>
    </w:p>
    <w:p>
      <w:pPr>
        <w:spacing w:after="0" w:line="12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For the year ended December 31, 2019, general and administrative expenses increased by $11.5 million, or 147.2%, from $7.8 million for the year ended December 31, 2018. The increase in general and administrative expenses in both dollars and as a percentage of revenue was primarily due to an increase of $7.2 million in legal, investment banking and other consulting fees related to the February 2019 transaction with Insignia, $2.4 million in personnel-related, an increase in equity-based compensation expense of $1.3 million, and a $0.6 million increase in other expenses.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our equity-based compensation expense that was included in cost and operating expenses for the years ended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jc w:val="right"/>
              <w:ind w:right="212"/>
              <w:spacing w:after="0"/>
              <w:rPr>
                <w:sz w:val="20"/>
                <w:szCs w:val="20"/>
                <w:color w:val="auto"/>
              </w:rPr>
            </w:pPr>
            <w:r>
              <w:rPr>
                <w:rFonts w:ascii="Arial" w:cs="Arial" w:eastAsia="Arial" w:hAnsi="Arial"/>
                <w:sz w:val="18"/>
                <w:szCs w:val="18"/>
                <w:b w:val="1"/>
                <w:bCs w:val="1"/>
                <w:color w:val="auto"/>
              </w:rPr>
              <w:t>Year ended</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22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b w:val="1"/>
                <w:bCs w:val="1"/>
                <w:color w:val="auto"/>
              </w:rPr>
              <w:t>December 31, 2019</w:t>
            </w: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96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9"/>
              </w:rPr>
              <w:t>December 31, 2018</w:t>
            </w: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700" w:type="dxa"/>
            <w:vAlign w:val="bottom"/>
            <w:shd w:val="clear" w:color="auto" w:fill="CCEEFF"/>
          </w:tcPr>
          <w:p>
            <w:pPr>
              <w:ind w:left="134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181</w:t>
            </w:r>
          </w:p>
        </w:tc>
        <w:tc>
          <w:tcPr>
            <w:tcW w:w="118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  127</w:t>
            </w:r>
          </w:p>
        </w:tc>
        <w:tc>
          <w:tcPr>
            <w:tcW w:w="12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235.2%</w:t>
            </w:r>
          </w:p>
        </w:tc>
        <w:tc>
          <w:tcPr>
            <w:tcW w:w="68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54</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700" w:type="dxa"/>
            <w:vAlign w:val="bottom"/>
          </w:tcPr>
          <w:p>
            <w:pPr>
              <w:spacing w:after="0"/>
              <w:rPr>
                <w:sz w:val="17"/>
                <w:szCs w:val="17"/>
                <w:color w:val="auto"/>
              </w:rPr>
            </w:pPr>
          </w:p>
        </w:tc>
        <w:tc>
          <w:tcPr>
            <w:tcW w:w="15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1,384</w:t>
            </w:r>
          </w:p>
        </w:tc>
        <w:tc>
          <w:tcPr>
            <w:tcW w:w="11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959</w:t>
            </w:r>
          </w:p>
        </w:tc>
        <w:tc>
          <w:tcPr>
            <w:tcW w:w="12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225.6%</w:t>
            </w:r>
          </w:p>
        </w:tc>
        <w:tc>
          <w:tcPr>
            <w:tcW w:w="68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development</w:t>
            </w:r>
          </w:p>
        </w:tc>
        <w:tc>
          <w:tcPr>
            <w:tcW w:w="17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532</w:t>
            </w:r>
          </w:p>
        </w:tc>
        <w:tc>
          <w:tcPr>
            <w:tcW w:w="11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365</w:t>
            </w: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218.6%</w:t>
            </w:r>
          </w:p>
        </w:tc>
        <w:tc>
          <w:tcPr>
            <w:tcW w:w="6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167</w:t>
            </w:r>
          </w:p>
        </w:tc>
      </w:tr>
      <w:tr>
        <w:trPr>
          <w:trHeight w:val="21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1,497</w:t>
            </w: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1,319</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741.0%</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r>
      <w:tr>
        <w:trPr>
          <w:trHeight w:val="197"/>
        </w:trPr>
        <w:tc>
          <w:tcPr>
            <w:tcW w:w="34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ind w:left="1340"/>
              <w:spacing w:after="0" w:line="197"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2"/>
              <w:spacing w:after="0" w:line="197" w:lineRule="exact"/>
              <w:rPr>
                <w:sz w:val="20"/>
                <w:szCs w:val="20"/>
                <w:color w:val="auto"/>
              </w:rPr>
            </w:pPr>
            <w:r>
              <w:rPr>
                <w:rFonts w:ascii="Arial" w:cs="Arial" w:eastAsia="Arial" w:hAnsi="Arial"/>
                <w:sz w:val="18"/>
                <w:szCs w:val="18"/>
                <w:color w:val="auto"/>
              </w:rPr>
              <w:t>3,594</w:t>
            </w:r>
          </w:p>
        </w:tc>
        <w:tc>
          <w:tcPr>
            <w:tcW w:w="1180" w:type="dxa"/>
            <w:vAlign w:val="bottom"/>
            <w:shd w:val="clear" w:color="auto" w:fill="CCEEFF"/>
          </w:tcPr>
          <w:p>
            <w:pPr>
              <w:jc w:val="right"/>
              <w:ind w:right="232"/>
              <w:spacing w:after="0" w:line="197" w:lineRule="exact"/>
              <w:rPr>
                <w:sz w:val="20"/>
                <w:szCs w:val="20"/>
                <w:color w:val="auto"/>
              </w:rPr>
            </w:pPr>
            <w:r>
              <w:rPr>
                <w:rFonts w:ascii="Arial" w:cs="Arial" w:eastAsia="Arial" w:hAnsi="Arial"/>
                <w:sz w:val="18"/>
                <w:szCs w:val="18"/>
                <w:color w:val="auto"/>
              </w:rPr>
              <w:t>$2,770</w:t>
            </w:r>
          </w:p>
        </w:tc>
        <w:tc>
          <w:tcPr>
            <w:tcW w:w="122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rPr>
              <w:t>336.2%</w:t>
            </w:r>
          </w:p>
        </w:tc>
        <w:tc>
          <w:tcPr>
            <w:tcW w:w="680" w:type="dxa"/>
            <w:vAlign w:val="bottom"/>
            <w:shd w:val="clear" w:color="auto" w:fill="CCEEFF"/>
          </w:tcPr>
          <w:p>
            <w:pPr>
              <w:ind w:left="300"/>
              <w:spacing w:after="0" w:line="197"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8"/>
                <w:szCs w:val="18"/>
                <w:color w:val="auto"/>
              </w:rPr>
              <w:t>824</w:t>
            </w:r>
          </w:p>
        </w:tc>
      </w:tr>
      <w:tr>
        <w:trPr>
          <w:trHeight w:val="363"/>
        </w:trPr>
        <w:tc>
          <w:tcPr>
            <w:tcW w:w="3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jc w:val="right"/>
              <w:ind w:right="972"/>
              <w:spacing w:after="0"/>
              <w:rPr>
                <w:sz w:val="20"/>
                <w:szCs w:val="20"/>
                <w:color w:val="auto"/>
              </w:rPr>
            </w:pPr>
            <w:r>
              <w:rPr>
                <w:rFonts w:ascii="Arial" w:cs="Arial" w:eastAsia="Arial" w:hAnsi="Arial"/>
                <w:sz w:val="18"/>
                <w:szCs w:val="18"/>
                <w:color w:val="auto"/>
              </w:rPr>
              <w:t>92</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compared to 2018</w:t>
      </w:r>
    </w:p>
    <w:p>
      <w:pPr>
        <w:spacing w:after="0" w:line="126" w:lineRule="exact"/>
        <w:rPr>
          <w:sz w:val="20"/>
          <w:szCs w:val="20"/>
          <w:color w:val="auto"/>
        </w:rPr>
      </w:pPr>
    </w:p>
    <w:p>
      <w:pPr>
        <w:ind w:left="120" w:right="60"/>
        <w:spacing w:after="0" w:line="299" w:lineRule="auto"/>
        <w:rPr>
          <w:sz w:val="20"/>
          <w:szCs w:val="20"/>
          <w:color w:val="auto"/>
        </w:rPr>
      </w:pPr>
      <w:r>
        <w:rPr>
          <w:rFonts w:ascii="Arial" w:cs="Arial" w:eastAsia="Arial" w:hAnsi="Arial"/>
          <w:sz w:val="16"/>
          <w:szCs w:val="16"/>
          <w:color w:val="auto"/>
        </w:rPr>
        <w:t>For the year ended December 31, 2019, equity-based compensation expense increased $2.8 million, or 336.2%, compared to the year ended December 31, 2018, reflecting equity-based compensation recognized in connection with a transaction with Insignia in February 2019.</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our depreciation expense that was included in cost and operating expenses for the years ended December 31,</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and 2018, and the dollar and percentage changes between the two periods:</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Year ended</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r>
      <w:tr>
        <w:trPr>
          <w:trHeight w:val="203"/>
        </w:trPr>
        <w:tc>
          <w:tcPr>
            <w:tcW w:w="6180" w:type="dxa"/>
            <w:vAlign w:val="bottom"/>
          </w:tcPr>
          <w:p>
            <w:pPr>
              <w:spacing w:after="0"/>
              <w:rPr>
                <w:sz w:val="17"/>
                <w:szCs w:val="17"/>
                <w:color w:val="auto"/>
              </w:rPr>
            </w:pPr>
          </w:p>
        </w:tc>
        <w:tc>
          <w:tcPr>
            <w:tcW w:w="13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35"/>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22</w:t>
            </w:r>
          </w:p>
        </w:tc>
        <w:tc>
          <w:tcPr>
            <w:tcW w:w="1100" w:type="dxa"/>
            <w:vAlign w:val="bottom"/>
            <w:gridSpan w:val="3"/>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 (1)</w:t>
            </w:r>
          </w:p>
        </w:tc>
        <w:tc>
          <w:tcPr>
            <w:tcW w:w="9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-4.3%</w:t>
            </w:r>
          </w:p>
        </w:tc>
        <w:tc>
          <w:tcPr>
            <w:tcW w:w="40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92</w:t>
            </w:r>
          </w:p>
        </w:tc>
        <w:tc>
          <w:tcPr>
            <w:tcW w:w="11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w:t>
            </w:r>
          </w:p>
        </w:tc>
        <w:tc>
          <w:tcPr>
            <w:tcW w:w="11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46</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w:t>
            </w:r>
          </w:p>
        </w:tc>
        <w:tc>
          <w:tcPr>
            <w:tcW w:w="11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23</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7"/>
        </w:trPr>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w:t>
            </w: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compared to 2018</w:t>
      </w:r>
    </w:p>
    <w:p>
      <w:pPr>
        <w:spacing w:after="0" w:line="126"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There were no material changes in depreciation expense in the year ended December 31, 2019 as compared with the same period ended December 31, 2018.</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w:t>
      </w:r>
    </w:p>
    <w:p>
      <w:pPr>
        <w:spacing w:after="0" w:line="124"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The following table presents our amortization of intangible asset expense that was included in cost and operating expenses for the years ended December 31, 2019 and 2018, and the dollar and percentage changes between the two periods:</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r>
      <w:tr>
        <w:trPr>
          <w:trHeight w:val="203"/>
        </w:trPr>
        <w:tc>
          <w:tcPr>
            <w:tcW w:w="4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3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2160" w:type="dxa"/>
            <w:vAlign w:val="bottom"/>
            <w:gridSpan w:val="2"/>
            <w:shd w:val="clear" w:color="auto" w:fill="CCEEFF"/>
          </w:tcPr>
          <w:p>
            <w:pPr>
              <w:ind w:left="200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510</w:t>
            </w:r>
          </w:p>
        </w:tc>
        <w:tc>
          <w:tcPr>
            <w:tcW w:w="11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  (228)</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738</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3,401</w:t>
            </w:r>
          </w:p>
        </w:tc>
        <w:tc>
          <w:tcPr>
            <w:tcW w:w="11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(383)</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3,784</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development</w:t>
            </w:r>
          </w:p>
        </w:tc>
        <w:tc>
          <w:tcPr>
            <w:tcW w:w="2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1,470</w:t>
            </w:r>
          </w:p>
        </w:tc>
        <w:tc>
          <w:tcPr>
            <w:tcW w:w="11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(5,777)</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7,247</w:t>
            </w:r>
          </w:p>
        </w:tc>
      </w:tr>
      <w:tr>
        <w:trPr>
          <w:trHeight w:val="210"/>
        </w:trPr>
        <w:tc>
          <w:tcPr>
            <w:tcW w:w="40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ind w:left="200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5,381</w:t>
            </w:r>
          </w:p>
        </w:tc>
        <w:tc>
          <w:tcPr>
            <w:tcW w:w="11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(6,388)</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11,769</w:t>
            </w: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compared to 2018</w:t>
      </w:r>
    </w:p>
    <w:p>
      <w:pPr>
        <w:spacing w:after="0" w:line="104"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For the year ended December 31, 2019, amortization of intangible asset expense decreased $6.4 million or 54.3%, compared to the year ended December 31, 2018. This change was primarily driven by intangible assets that were fully amortized in 2019.</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expenses</w:t>
      </w:r>
    </w:p>
    <w:p>
      <w:pPr>
        <w:spacing w:after="0" w:line="124"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The following table presents our other expenses for the years ended December 31, 2019 and 2018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7"/>
              </w:rPr>
              <w:t>December 31, 2019</w:t>
            </w:r>
          </w:p>
        </w:tc>
        <w:tc>
          <w:tcPr>
            <w:tcW w:w="12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7"/>
              </w:rPr>
              <w:t>December 31, 2018</w:t>
            </w: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expense, net</w:t>
            </w:r>
          </w:p>
        </w:tc>
        <w:tc>
          <w:tcPr>
            <w:tcW w:w="960" w:type="dxa"/>
            <w:vAlign w:val="bottom"/>
            <w:gridSpan w:val="2"/>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percentage of total revenue</w:t>
            </w: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r>
              <w:rPr>
                <w:rFonts w:ascii="Arial" w:cs="Arial" w:eastAsia="Arial" w:hAnsi="Arial"/>
                <w:sz w:val="18"/>
                <w:szCs w:val="18"/>
                <w:i w:val="1"/>
                <w:iCs w:val="1"/>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r>
              <w:rPr>
                <w:rFonts w:ascii="Arial" w:cs="Arial" w:eastAsia="Arial" w:hAnsi="Arial"/>
                <w:sz w:val="18"/>
                <w:szCs w:val="18"/>
                <w:i w:val="1"/>
                <w:iCs w:val="1"/>
                <w:color w:val="auto"/>
              </w:rPr>
              <w:t>%</w:t>
            </w:r>
          </w:p>
        </w:tc>
        <w:tc>
          <w:tcPr>
            <w:tcW w:w="60" w:type="dxa"/>
            <w:vAlign w:val="bottom"/>
          </w:tcPr>
          <w:p>
            <w:pPr>
              <w:spacing w:after="0"/>
              <w:rPr>
                <w:sz w:val="18"/>
                <w:szCs w:val="18"/>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other expense in 2019 or 2018.</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The following table presents our interest expense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Year ended</w:t>
            </w: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5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w w:val="96"/>
              </w:rPr>
              <w:t>December 31, 2019</w:t>
            </w:r>
          </w:p>
        </w:tc>
        <w:tc>
          <w:tcPr>
            <w:tcW w:w="11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7"/>
              </w:rPr>
              <w:t>December 31, 2018</w:t>
            </w: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 net</w:t>
            </w:r>
          </w:p>
        </w:tc>
        <w:tc>
          <w:tcPr>
            <w:tcW w:w="940" w:type="dxa"/>
            <w:vAlign w:val="bottom"/>
            <w:gridSpan w:val="2"/>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7,021</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$5,827</w:t>
            </w:r>
          </w:p>
        </w:tc>
        <w:tc>
          <w:tcPr>
            <w:tcW w:w="6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488.0%</w:t>
            </w:r>
          </w:p>
        </w:tc>
        <w:tc>
          <w:tcPr>
            <w:tcW w:w="3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1,194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i w:val="1"/>
                <w:iCs w:val="1"/>
                <w:color w:val="auto"/>
              </w:rPr>
              <w:t>%</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r>
              <w:rPr>
                <w:rFonts w:ascii="Arial" w:cs="Arial" w:eastAsia="Arial" w:hAnsi="Arial"/>
                <w:sz w:val="18"/>
                <w:szCs w:val="18"/>
                <w:i w:val="1"/>
                <w:iCs w:val="1"/>
                <w:color w:val="auto"/>
              </w:rPr>
              <w:t>%</w:t>
            </w:r>
          </w:p>
        </w:tc>
      </w:tr>
      <w:tr>
        <w:trPr>
          <w:trHeight w:val="20"/>
        </w:trPr>
        <w:tc>
          <w:tcPr>
            <w:tcW w:w="4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compared to 2018</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 ended December 31, 2019, interest expense increased by $5.8 million from $1.2 million for the year ended December 31, 2018.</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interest expense was driven by the additional borrowings of $85.0 million through the 2019 Credit Facilities.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24" w:lineRule="exact"/>
        <w:rPr>
          <w:sz w:val="20"/>
          <w:szCs w:val="20"/>
          <w:color w:val="auto"/>
        </w:rPr>
      </w:pPr>
    </w:p>
    <w:p>
      <w:pPr>
        <w:ind w:left="120" w:right="620"/>
        <w:spacing w:after="0" w:line="239" w:lineRule="auto"/>
        <w:rPr>
          <w:sz w:val="20"/>
          <w:szCs w:val="20"/>
          <w:color w:val="auto"/>
        </w:rPr>
      </w:pPr>
      <w:r>
        <w:rPr>
          <w:rFonts w:ascii="Arial" w:cs="Arial" w:eastAsia="Arial" w:hAnsi="Arial"/>
          <w:sz w:val="18"/>
          <w:szCs w:val="18"/>
          <w:color w:val="auto"/>
        </w:rPr>
        <w:t>The following table presents our income tax expense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6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b w:val="1"/>
                <w:bCs w:val="1"/>
                <w:color w:val="auto"/>
                <w:w w:val="96"/>
              </w:rPr>
              <w:t>December 31, 2019</w:t>
            </w:r>
          </w:p>
        </w:tc>
        <w:tc>
          <w:tcPr>
            <w:tcW w:w="10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7"/>
              </w:rPr>
              <w:t>December 31, 2018</w:t>
            </w: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w:t>
            </w:r>
          </w:p>
        </w:tc>
        <w:tc>
          <w:tcPr>
            <w:tcW w:w="1020" w:type="dxa"/>
            <w:vAlign w:val="bottom"/>
            <w:gridSpan w:val="2"/>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r>
              <w:rPr>
                <w:rFonts w:ascii="Arial" w:cs="Arial" w:eastAsia="Arial" w:hAnsi="Arial"/>
                <w:sz w:val="18"/>
                <w:szCs w:val="18"/>
                <w:i w:val="1"/>
                <w:iCs w:val="1"/>
                <w:color w:val="auto"/>
              </w:rPr>
              <w:t>%</w:t>
            </w:r>
          </w:p>
        </w:tc>
      </w:tr>
      <w:tr>
        <w:trPr>
          <w:trHeight w:val="20"/>
        </w:trPr>
        <w:tc>
          <w:tcPr>
            <w:tcW w:w="4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left="120" w:right="40"/>
        <w:spacing w:after="0" w:line="299" w:lineRule="auto"/>
        <w:rPr>
          <w:sz w:val="20"/>
          <w:szCs w:val="20"/>
          <w:color w:val="auto"/>
        </w:rPr>
      </w:pPr>
      <w:r>
        <w:rPr>
          <w:rFonts w:ascii="Arial" w:cs="Arial" w:eastAsia="Arial" w:hAnsi="Arial"/>
          <w:sz w:val="16"/>
          <w:szCs w:val="16"/>
          <w:color w:val="auto"/>
        </w:rPr>
        <w:t>Prior to the IPO reorganization in October of 2020, QLH was organized as a limited liability company and incurred no income taxes. The increase is driven by the IPO reorganization described note [6] to our consolidated financial statements included elsewhere in this prospectus.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Segment information</w:t>
      </w:r>
    </w:p>
    <w:p>
      <w:pPr>
        <w:spacing w:after="0" w:line="13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operate in the United States and in a single operating segment. Operating segments are defined as components of an enterprise about which separate financial information is available that is evaluated regularly by the chief operating decision maker, or decision-making group, in deciding how to allocate resources and in assessing performance. Our chief operating decision maker is our chief executive officer, who reviews financial information presented on a consolidated basis for purposes of allocating resources and evaluating financial performance. No expense or operating income is evaluated at a segment level. Since we operate in one operating segment and reportable segment, all required financial segment information can be found in the consolidated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Prior to the completion of the IPO, our liquidity needs were funded primarily through cash flow generated from operations. Our principal uses of cash have been to fund operations as well as make distributions to holders of Class A and Class B units at QLH, interest payments and mandatory principal payments on our long-term debt.</w:t>
      </w:r>
    </w:p>
    <w:p>
      <w:pPr>
        <w:spacing w:after="0" w:line="100"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On October 30, 2020, we closed the IPO, selling 7,027,606 shares of Class A common stock at a public offering price of $19.00 per share, which includes 769,104 shares issued pursuant to the underwriters’ option to purchase additional shares. We received $124.2 million, net of underwriting discounts and commissions, which we used in part to repurchase 4,772,449 Class B-1 units of MediaAlpha.</w:t>
      </w:r>
    </w:p>
    <w:p>
      <w:pPr>
        <w:spacing w:after="0" w:line="100"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MediaAlpha, Inc. contributed (i) $84.3 million of the net proceeds to Intermediate Holdco for Intermediate Holdco to repurchase 4,772,449 Class B-1 units of QLH (which Class B-1 units were converted into Class A-1 units of QLH) and (ii) $23.6 million of the net proceeds to Intermediate Holdco for further contribution to QLH, and in turn to QL, to repay outstanding borrowings under the 2020 Term Loan Facility. The remaining net proceeds of $16.3 million were contributed to Intermediate Holdco for further contribution to QLH and QL to pay for costs associated with the offering and to use for working capital, capital expenditures and general corporate purposes. Immediately following the completion of the IPO, there were 33,169,141 shares of Class A common stock outstanding, representing an approximately 56.5% ownership interest in QLH. Additionally, immediately following the completion of the IPO, there were 25,536,043 shares of Class B common stock outstanding, equivalent to all but 41,620 Class B-1 units of QLH not held by us, representing an approximately 43.5% ownership interest in QLH.</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Cash Flows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our cash and cash equivalents totaled $10.0 million.</w:t>
      </w:r>
    </w:p>
    <w:p>
      <w:pPr>
        <w:spacing w:after="0" w:line="10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believe that our current sources of liquidity, which include cash flow generated from operations, cash and funds available under the 2020 Credit Facilities, will be sufficient to meet our projected operating and debt service requirements for at least the next 12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w:t>
      </w:r>
    </w:p>
    <w:p>
      <w:pPr>
        <w:spacing w:after="0" w:line="101"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The following table presents a summary of our cash flows for the years ended December 31, 2019 and 2018 and the dollar and percentage changes between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jc w:val="right"/>
              <w:ind w:right="272"/>
              <w:spacing w:after="0"/>
              <w:rPr>
                <w:sz w:val="20"/>
                <w:szCs w:val="20"/>
                <w:color w:val="auto"/>
              </w:rPr>
            </w:pPr>
            <w:r>
              <w:rPr>
                <w:rFonts w:ascii="Arial" w:cs="Arial" w:eastAsia="Arial" w:hAnsi="Arial"/>
                <w:sz w:val="18"/>
                <w:szCs w:val="18"/>
                <w:b w:val="1"/>
                <w:bCs w:val="1"/>
                <w:color w:val="auto"/>
              </w:rPr>
              <w:t>Year ended</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December 31, 2019</w:t>
            </w: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w:t>
            </w:r>
          </w:p>
        </w:tc>
        <w:tc>
          <w:tcPr>
            <w:tcW w:w="2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December 31, 2018</w:t>
            </w: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22,143</w:t>
            </w:r>
          </w:p>
        </w:tc>
        <w:tc>
          <w:tcPr>
            <w:tcW w:w="110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 (506)</w:t>
            </w:r>
          </w:p>
        </w:tc>
        <w:tc>
          <w:tcPr>
            <w:tcW w:w="114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22,649</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7"/>
                <w:szCs w:val="17"/>
                <w:color w:val="auto"/>
              </w:rPr>
            </w:pPr>
          </w:p>
        </w:tc>
        <w:tc>
          <w:tcPr>
            <w:tcW w:w="15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(294)</w:t>
            </w:r>
          </w:p>
        </w:tc>
        <w:tc>
          <w:tcPr>
            <w:tcW w:w="11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346</w:t>
            </w:r>
          </w:p>
        </w:tc>
        <w:tc>
          <w:tcPr>
            <w:tcW w:w="11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(54.1)%</w:t>
            </w:r>
          </w:p>
        </w:tc>
        <w:tc>
          <w:tcPr>
            <w:tcW w:w="74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(640)</w:t>
            </w: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(17,483)</w:t>
            </w:r>
          </w:p>
        </w:tc>
        <w:tc>
          <w:tcPr>
            <w:tcW w:w="11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7,962</w:t>
            </w:r>
          </w:p>
        </w:tc>
        <w:tc>
          <w:tcPr>
            <w:tcW w:w="11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(31.3)%</w:t>
            </w:r>
          </w:p>
        </w:tc>
        <w:tc>
          <w:tcPr>
            <w:tcW w:w="7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(25,445)</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4"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Net cash provided by operating activities primarily consists of net income, adjusted for certain (i) non-cash items including equity-based compensation expense, depreciation on property and equipment and amortization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of intangible assets and deferred debt issuance costs and (ii) changes in operating assets and liabilities (accounts receivable, prepaid expenses and other current assets, accounts payable, accrued expenses and deferred rent).</w:t>
      </w:r>
    </w:p>
    <w:p>
      <w:pPr>
        <w:spacing w:after="0" w:line="101"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Collection of accounts receivable depends upon the timing of our receipt of payments. We aim to align our separate payment obligations to supply partners and traffic acquisition sources for our proprietary websites with the timing of our receipt of separate payments from our demand partners. With respect to supply partners who are also demand partners, we maintain separate agreements for selling and buying and, in the majority of cases, such partners do not have a right of offset with respect to their buy-side payments, nor do we have a right of offset with respect to sell-side payments to such partners. If we were to experience a delay in receiving a payment from a buyer within a quarter, our operating cash flows for that quarter could be adversely impacted.</w:t>
      </w:r>
    </w:p>
    <w:p>
      <w:pPr>
        <w:spacing w:after="0" w:line="1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Cash flows provided by operating activities were $22.1 million for the year ended December 31, 2019 as compared to $22.7 million for the year ended December 31, 2018. The decrease is primarily on account of lower net income, excluding the impact of non-cash charges partially offset by higher working capital usage driven primarily by growth in our business.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investing activities primarily consist of purchases of property and equipment, acquisition of intangible assets and investments.</w:t>
      </w:r>
    </w:p>
    <w:p>
      <w:pPr>
        <w:spacing w:after="0" w:line="104"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8"/>
          <w:szCs w:val="18"/>
          <w:color w:val="auto"/>
        </w:rPr>
        <w:t>Cash flows used in investing activities were $0.3 million for the year ended December 31, 2019 as compared to $0.6 million for the year ended December 31, 2018. The decrease is primarily on account of higher purchases of property and equipment during the year ended December 31,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Our financing activities primarily consist of proceeds from and repayments on our term debt facilities, and revolving line of credit, payments of debt issue costs, transactions related to our common stock, and member contributions and distributions prior to the IPO.</w:t>
      </w:r>
    </w:p>
    <w:p>
      <w:pPr>
        <w:spacing w:after="0" w:line="10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Cash flows used in financing activities were $17.5 million for the year ended December 31, 2019 as compared to $25.4 million for the year ended December 31, 2018. The decrease is on account of higher members’ distributions, repurchase of Class A units at QLH, and repayment of term debt partially offset by proceeds from the 2019 Credit Facilities and members’ contributions.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2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On September 23, 2020, we terminated and repaid in full the 2019 Credit Facilities, and QL entered into the 2020 Credit Agreement with JPMorgan Chase Bank, N.A., as lender and administrative agent, and the other lenders from time to time party thereto, providing for the 2020 Credit Facilities consisting of (i) the 2020 Term Loan Facility and (ii) the 2020 Revolving Credit Facility.</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obligations under the 2020 Credit Facilities are guaranteed by QLH and the domestic subsidiaries of QL, subject to certain exceptions.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2020 Credit Facilities are secured by substantially all of the tangible and intangible assets of QL and the guarantors under the 2020</w:t>
      </w:r>
    </w:p>
    <w:p>
      <w:pPr>
        <w:ind w:left="120"/>
        <w:spacing w:after="0"/>
        <w:rPr>
          <w:sz w:val="20"/>
          <w:szCs w:val="20"/>
          <w:color w:val="auto"/>
        </w:rPr>
      </w:pPr>
      <w:r>
        <w:rPr>
          <w:rFonts w:ascii="Arial" w:cs="Arial" w:eastAsia="Arial" w:hAnsi="Arial"/>
          <w:sz w:val="16"/>
          <w:szCs w:val="16"/>
          <w:color w:val="auto"/>
        </w:rPr>
        <w:t>Credit Agreement (including, without limitation, all of the equity interests in QL held by QLH), subject to permitted liens and certain exceptions.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QL and its subsidiaries are subject under the 2020 Credit Facilities to customary affirmative and negative covenants,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including limitations on their ability to incur additional indebtedness and engage in certain business transactions, such as distributions and other restricted payments, acquisitions and other investments and mergers. In addition, the 2020 Credit Agreement contains two financial maintenance covenants, requiring QL to (1) comply with a maximum Consolidated Total Net Leverage Ratio (as defined in the 2020 Credit Agreement) and (2) maintain a minimum Consolidated Fixed Charge Coverage Ratio (as defined in the 2020 Credit Agreement). Events of default under the 2020 Credit Agreement include, among other things, nonpayment of principal when due; nonpayment of interest, fees or other amounts after a grace period; material inaccuracy of representations and warranties; violation of covenants (subject, in the case of certain affirmative covenants, to a grace period); cross-event of default to material debt; bankruptcy events; certain ERISA events; material judgments; change of control; and actual or asserted invalidity of the 2020 Credit Agreement and non-perfection of the security interest on any material portion of the collateral. If an event of default occurs, the lenders will be permitted to declare all outstanding borrowings immediately due and payable. There can be no guarantee that we will be in compliance with all covenants related to the 2020 Credit Facilities in the future and, if we are not in compliance with any such covenants, that waivers will be obtained.</w:t>
      </w:r>
    </w:p>
    <w:p>
      <w:pPr>
        <w:spacing w:after="0" w:line="106"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Proceeds from the 2020 Term Loan Facility were used to refinance the 2019 Credit Facilities and pay related fees and expenses and fund a distribution to equity holders of QLH. The 2020 Revolving Credit Facility is available for general corporate purposes and includes a letter of credit sub-facility of up to $2.5 million. The 2020 Credit Facilities also include an uncommitted incremental facility, which, subject to certain conditions, provides for additional term loan facilities, an increase in commitments under the 2020 Term Loan Facility and/or an increase in commitments under the 2020 Revolving Credit Facility, in an aggregate amount of up to $50.0 million.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Contractual obligations</w:t>
      </w:r>
    </w:p>
    <w:p>
      <w:pPr>
        <w:spacing w:after="0" w:line="134"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The following table sets forth certain contractual obligations as of December 31, 2020 and the timing and effect that such commitments are expected to have on our liquidity and capital requirements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840" w:type="dxa"/>
            <w:vAlign w:val="bottom"/>
          </w:tcPr>
          <w:p>
            <w:pPr>
              <w:spacing w:after="0"/>
              <w:rPr>
                <w:sz w:val="19"/>
                <w:szCs w:val="19"/>
                <w:color w:val="auto"/>
              </w:rPr>
            </w:pPr>
          </w:p>
        </w:tc>
        <w:tc>
          <w:tcPr>
            <w:tcW w:w="414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Payments due by period—December 31, 2020</w:t>
            </w:r>
          </w:p>
        </w:tc>
      </w:tr>
      <w:tr>
        <w:trPr>
          <w:trHeight w:val="177"/>
        </w:trPr>
        <w:tc>
          <w:tcPr>
            <w:tcW w:w="68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2"/>
              <w:spacing w:after="0" w:line="177" w:lineRule="exact"/>
              <w:rPr>
                <w:sz w:val="20"/>
                <w:szCs w:val="20"/>
                <w:color w:val="auto"/>
              </w:rPr>
            </w:pPr>
            <w:r>
              <w:rPr>
                <w:rFonts w:ascii="Arial" w:cs="Arial" w:eastAsia="Arial" w:hAnsi="Arial"/>
                <w:sz w:val="18"/>
                <w:szCs w:val="18"/>
                <w:b w:val="1"/>
                <w:bCs w:val="1"/>
                <w:color w:val="auto"/>
              </w:rPr>
              <w:t>Less than</w:t>
            </w:r>
          </w:p>
        </w:tc>
        <w:tc>
          <w:tcPr>
            <w:tcW w:w="720" w:type="dxa"/>
            <w:vAlign w:val="bottom"/>
            <w:tcBorders>
              <w:top w:val="single" w:sz="8" w:color="auto"/>
            </w:tcBorders>
          </w:tcPr>
          <w:p>
            <w:pPr>
              <w:jc w:val="right"/>
              <w:ind w:right="52"/>
              <w:spacing w:after="0" w:line="177" w:lineRule="exact"/>
              <w:rPr>
                <w:sz w:val="20"/>
                <w:szCs w:val="20"/>
                <w:color w:val="auto"/>
              </w:rPr>
            </w:pPr>
            <w:r>
              <w:rPr>
                <w:rFonts w:ascii="Arial" w:cs="Arial" w:eastAsia="Arial" w:hAnsi="Arial"/>
                <w:sz w:val="18"/>
                <w:szCs w:val="18"/>
                <w:b w:val="1"/>
                <w:bCs w:val="1"/>
                <w:color w:val="auto"/>
              </w:rPr>
              <w:t>1–3</w:t>
            </w:r>
          </w:p>
        </w:tc>
        <w:tc>
          <w:tcPr>
            <w:tcW w:w="740" w:type="dxa"/>
            <w:vAlign w:val="bottom"/>
            <w:tcBorders>
              <w:top w:val="single" w:sz="8" w:color="auto"/>
            </w:tcBorders>
          </w:tcPr>
          <w:p>
            <w:pPr>
              <w:jc w:val="right"/>
              <w:ind w:right="52"/>
              <w:spacing w:after="0" w:line="177" w:lineRule="exact"/>
              <w:rPr>
                <w:sz w:val="20"/>
                <w:szCs w:val="20"/>
                <w:color w:val="auto"/>
              </w:rPr>
            </w:pPr>
            <w:r>
              <w:rPr>
                <w:rFonts w:ascii="Arial" w:cs="Arial" w:eastAsia="Arial" w:hAnsi="Arial"/>
                <w:sz w:val="18"/>
                <w:szCs w:val="18"/>
                <w:b w:val="1"/>
                <w:bCs w:val="1"/>
                <w:color w:val="auto"/>
              </w:rPr>
              <w:t>3–5</w:t>
            </w:r>
          </w:p>
        </w:tc>
        <w:tc>
          <w:tcPr>
            <w:tcW w:w="9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More than</w:t>
            </w:r>
          </w:p>
        </w:tc>
        <w:tc>
          <w:tcPr>
            <w:tcW w:w="20" w:type="dxa"/>
            <w:vAlign w:val="bottom"/>
          </w:tcPr>
          <w:p>
            <w:pPr>
              <w:spacing w:after="0"/>
              <w:rPr>
                <w:sz w:val="15"/>
                <w:szCs w:val="15"/>
                <w:color w:val="auto"/>
              </w:rPr>
            </w:pPr>
          </w:p>
        </w:tc>
      </w:tr>
      <w:tr>
        <w:trPr>
          <w:trHeight w:val="233"/>
        </w:trPr>
        <w:tc>
          <w:tcPr>
            <w:tcW w:w="68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1 year</w:t>
            </w: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years</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years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wp:posOffset>
            </wp:positionV>
            <wp:extent cx="6995160" cy="291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Long-term debt obligations</w:t>
      </w:r>
      <w:r>
        <w:rPr>
          <w:rFonts w:ascii="Arial" w:cs="Arial" w:eastAsia="Arial" w:hAnsi="Arial"/>
          <w:sz w:val="11"/>
          <w:szCs w:val="11"/>
          <w:color w:val="auto"/>
        </w:rPr>
        <w:t>(1)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Liabilities under the tax receivables agreement</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-4445</wp:posOffset>
            </wp:positionV>
            <wp:extent cx="26149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Total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wp:posOffset>
            </wp:positionV>
            <wp:extent cx="6960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6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0" w:type="dxa"/>
            <w:vAlign w:val="bottom"/>
          </w:tcPr>
          <w:p>
            <w:pPr>
              <w:jc w:val="right"/>
              <w:ind w:right="13"/>
              <w:spacing w:after="0"/>
              <w:rPr>
                <w:sz w:val="20"/>
                <w:szCs w:val="20"/>
                <w:color w:val="auto"/>
              </w:rPr>
            </w:pPr>
            <w:r>
              <w:rPr>
                <w:rFonts w:ascii="Arial" w:cs="Arial" w:eastAsia="Arial" w:hAnsi="Arial"/>
                <w:sz w:val="13"/>
                <w:szCs w:val="13"/>
                <w:color w:val="auto"/>
                <w:w w:val="87"/>
              </w:rPr>
              <w:t>(1)</w:t>
            </w:r>
          </w:p>
        </w:tc>
        <w:tc>
          <w:tcPr>
            <w:tcW w:w="740" w:type="dxa"/>
            <w:vAlign w:val="bottom"/>
          </w:tcPr>
          <w:p>
            <w:pPr>
              <w:ind w:left="80"/>
              <w:spacing w:after="0"/>
              <w:rPr>
                <w:sz w:val="20"/>
                <w:szCs w:val="20"/>
                <w:color w:val="auto"/>
              </w:rPr>
            </w:pPr>
            <w:r>
              <w:rPr>
                <w:rFonts w:ascii="Arial" w:cs="Arial" w:eastAsia="Arial" w:hAnsi="Arial"/>
                <w:sz w:val="13"/>
                <w:szCs w:val="13"/>
                <w:color w:val="auto"/>
              </w:rPr>
              <w:t>See note</w:t>
            </w:r>
          </w:p>
        </w:tc>
        <w:tc>
          <w:tcPr>
            <w:tcW w:w="10000" w:type="dxa"/>
            <w:vAlign w:val="bottom"/>
          </w:tcPr>
          <w:p>
            <w:pPr>
              <w:ind w:left="100"/>
              <w:spacing w:after="0"/>
              <w:rPr>
                <w:sz w:val="20"/>
                <w:szCs w:val="20"/>
                <w:color w:val="auto"/>
              </w:rPr>
            </w:pPr>
            <w:r>
              <w:rPr>
                <w:rFonts w:ascii="Arial" w:cs="Arial" w:eastAsia="Arial" w:hAnsi="Arial"/>
                <w:sz w:val="13"/>
                <w:szCs w:val="13"/>
                <w:color w:val="auto"/>
              </w:rPr>
              <w:t>to the audited consolidated financial statements included elsewhere in this prospectus. On September 23, 2020, QuoteLab, LLC terminated and repaid in full the 2019</w:t>
            </w:r>
          </w:p>
        </w:tc>
      </w:tr>
      <w:tr>
        <w:trPr>
          <w:trHeight w:val="148"/>
        </w:trPr>
        <w:tc>
          <w:tcPr>
            <w:tcW w:w="240" w:type="dxa"/>
            <w:vAlign w:val="bottom"/>
          </w:tcPr>
          <w:p>
            <w:pPr>
              <w:spacing w:after="0"/>
              <w:rPr>
                <w:sz w:val="12"/>
                <w:szCs w:val="12"/>
                <w:color w:val="auto"/>
              </w:rPr>
            </w:pPr>
          </w:p>
        </w:tc>
        <w:tc>
          <w:tcPr>
            <w:tcW w:w="10740" w:type="dxa"/>
            <w:vAlign w:val="bottom"/>
            <w:gridSpan w:val="2"/>
          </w:tcPr>
          <w:p>
            <w:pPr>
              <w:ind w:left="80"/>
              <w:spacing w:after="0"/>
              <w:rPr>
                <w:sz w:val="20"/>
                <w:szCs w:val="20"/>
                <w:color w:val="auto"/>
              </w:rPr>
            </w:pPr>
            <w:r>
              <w:rPr>
                <w:rFonts w:ascii="Arial" w:cs="Arial" w:eastAsia="Arial" w:hAnsi="Arial"/>
                <w:sz w:val="13"/>
                <w:szCs w:val="13"/>
                <w:color w:val="auto"/>
              </w:rPr>
              <w:t xml:space="preserve">Credit Facilities and entered into the 2020 Credit Agreement </w:t>
            </w:r>
            <w:r>
              <w:rPr>
                <w:rFonts w:ascii="Arial" w:cs="Arial" w:eastAsia="Arial" w:hAnsi="Arial"/>
                <w:sz w:val="13"/>
                <w:szCs w:val="13"/>
                <w:b w:val="1"/>
                <w:bCs w:val="1"/>
                <w:color w:val="auto"/>
              </w:rPr>
              <w:t>providing for the 2020 Credit Facilities consisting of (i) the 2020 Term Loan Facility and (ii) the 2020 Revolving</w:t>
            </w:r>
          </w:p>
        </w:tc>
      </w:tr>
      <w:tr>
        <w:trPr>
          <w:trHeight w:val="164"/>
        </w:trPr>
        <w:tc>
          <w:tcPr>
            <w:tcW w:w="240" w:type="dxa"/>
            <w:vAlign w:val="bottom"/>
          </w:tcPr>
          <w:p>
            <w:pPr>
              <w:spacing w:after="0"/>
              <w:rPr>
                <w:sz w:val="14"/>
                <w:szCs w:val="14"/>
                <w:color w:val="auto"/>
              </w:rPr>
            </w:pPr>
          </w:p>
        </w:tc>
        <w:tc>
          <w:tcPr>
            <w:tcW w:w="10740" w:type="dxa"/>
            <w:vAlign w:val="bottom"/>
            <w:gridSpan w:val="2"/>
          </w:tcPr>
          <w:p>
            <w:pPr>
              <w:ind w:left="80"/>
              <w:spacing w:after="0"/>
              <w:rPr>
                <w:sz w:val="20"/>
                <w:szCs w:val="20"/>
                <w:color w:val="auto"/>
              </w:rPr>
            </w:pPr>
            <w:r>
              <w:rPr>
                <w:rFonts w:ascii="Arial" w:cs="Arial" w:eastAsia="Arial" w:hAnsi="Arial"/>
                <w:sz w:val="13"/>
                <w:szCs w:val="13"/>
                <w:b w:val="1"/>
                <w:bCs w:val="1"/>
                <w:color w:val="auto"/>
              </w:rPr>
              <w:t>Credit Facility. QuoteLab</w:t>
            </w:r>
            <w:r>
              <w:rPr>
                <w:rFonts w:ascii="Arial" w:cs="Arial" w:eastAsia="Arial" w:hAnsi="Arial"/>
                <w:sz w:val="13"/>
                <w:szCs w:val="13"/>
                <w:color w:val="auto"/>
              </w:rPr>
              <w:t>, LLC is required to repay the 2020 Term Loan Facility, commencing with the fiscal quarter ending December 31, 2020, in equal quarterly installments in</w:t>
            </w:r>
          </w:p>
        </w:tc>
      </w:tr>
      <w:tr>
        <w:trPr>
          <w:trHeight w:val="149"/>
        </w:trPr>
        <w:tc>
          <w:tcPr>
            <w:tcW w:w="240" w:type="dxa"/>
            <w:vAlign w:val="bottom"/>
          </w:tcPr>
          <w:p>
            <w:pPr>
              <w:spacing w:after="0"/>
              <w:rPr>
                <w:sz w:val="12"/>
                <w:szCs w:val="12"/>
                <w:color w:val="auto"/>
              </w:rPr>
            </w:pPr>
          </w:p>
        </w:tc>
        <w:tc>
          <w:tcPr>
            <w:tcW w:w="10740" w:type="dxa"/>
            <w:vAlign w:val="bottom"/>
            <w:gridSpan w:val="2"/>
          </w:tcPr>
          <w:p>
            <w:pPr>
              <w:ind w:left="80"/>
              <w:spacing w:after="0"/>
              <w:rPr>
                <w:sz w:val="20"/>
                <w:szCs w:val="20"/>
                <w:color w:val="auto"/>
              </w:rPr>
            </w:pPr>
            <w:r>
              <w:rPr>
                <w:rFonts w:ascii="Arial" w:cs="Arial" w:eastAsia="Arial" w:hAnsi="Arial"/>
                <w:sz w:val="13"/>
                <w:szCs w:val="13"/>
                <w:color w:val="auto"/>
              </w:rPr>
              <w:t>an aggregate annual amount equal to 5% of the initial aggregate amount of the 2020 Term Loan Facility, with the balance payable on the maturity date, which is September 23,</w:t>
            </w:r>
          </w:p>
        </w:tc>
      </w:tr>
      <w:tr>
        <w:trPr>
          <w:trHeight w:val="162"/>
        </w:trPr>
        <w:tc>
          <w:tcPr>
            <w:tcW w:w="240" w:type="dxa"/>
            <w:vAlign w:val="bottom"/>
          </w:tcPr>
          <w:p>
            <w:pPr>
              <w:spacing w:after="0"/>
              <w:rPr>
                <w:sz w:val="14"/>
                <w:szCs w:val="14"/>
                <w:color w:val="auto"/>
              </w:rPr>
            </w:pPr>
          </w:p>
        </w:tc>
        <w:tc>
          <w:tcPr>
            <w:tcW w:w="10740" w:type="dxa"/>
            <w:vAlign w:val="bottom"/>
            <w:gridSpan w:val="2"/>
          </w:tcPr>
          <w:p>
            <w:pPr>
              <w:ind w:left="80"/>
              <w:spacing w:after="0"/>
              <w:rPr>
                <w:sz w:val="20"/>
                <w:szCs w:val="20"/>
                <w:color w:val="auto"/>
              </w:rPr>
            </w:pPr>
            <w:r>
              <w:rPr>
                <w:rFonts w:ascii="Arial" w:cs="Arial" w:eastAsia="Arial" w:hAnsi="Arial"/>
                <w:sz w:val="13"/>
                <w:szCs w:val="13"/>
                <w:color w:val="auto"/>
              </w:rPr>
              <w:t>2023 (or, if such date is not a business day, the first business day following such date). See “Description of certain indebtedness.”</w:t>
            </w:r>
          </w:p>
        </w:tc>
      </w:tr>
      <w:tr>
        <w:trPr>
          <w:trHeight w:val="392"/>
        </w:trPr>
        <w:tc>
          <w:tcPr>
            <w:tcW w:w="240" w:type="dxa"/>
            <w:vAlign w:val="bottom"/>
          </w:tcPr>
          <w:p>
            <w:pPr>
              <w:jc w:val="right"/>
              <w:ind w:right="13"/>
              <w:spacing w:after="0"/>
              <w:rPr>
                <w:sz w:val="20"/>
                <w:szCs w:val="20"/>
                <w:color w:val="auto"/>
              </w:rPr>
            </w:pPr>
            <w:r>
              <w:rPr>
                <w:rFonts w:ascii="Arial" w:cs="Arial" w:eastAsia="Arial" w:hAnsi="Arial"/>
                <w:sz w:val="13"/>
                <w:szCs w:val="13"/>
                <w:color w:val="auto"/>
                <w:w w:val="87"/>
              </w:rPr>
              <w:t>(2)</w:t>
            </w:r>
          </w:p>
        </w:tc>
        <w:tc>
          <w:tcPr>
            <w:tcW w:w="740" w:type="dxa"/>
            <w:vAlign w:val="bottom"/>
          </w:tcPr>
          <w:p>
            <w:pPr>
              <w:ind w:left="80"/>
              <w:spacing w:after="0"/>
              <w:rPr>
                <w:sz w:val="20"/>
                <w:szCs w:val="20"/>
                <w:color w:val="auto"/>
              </w:rPr>
            </w:pPr>
            <w:r>
              <w:rPr>
                <w:rFonts w:ascii="Arial" w:cs="Arial" w:eastAsia="Arial" w:hAnsi="Arial"/>
                <w:sz w:val="13"/>
                <w:szCs w:val="13"/>
                <w:color w:val="auto"/>
              </w:rPr>
              <w:t>See note</w:t>
            </w:r>
          </w:p>
        </w:tc>
        <w:tc>
          <w:tcPr>
            <w:tcW w:w="10000" w:type="dxa"/>
            <w:vAlign w:val="bottom"/>
          </w:tcPr>
          <w:p>
            <w:pPr>
              <w:ind w:left="100"/>
              <w:spacing w:after="0"/>
              <w:rPr>
                <w:sz w:val="20"/>
                <w:szCs w:val="20"/>
                <w:color w:val="auto"/>
              </w:rPr>
            </w:pPr>
            <w:r>
              <w:rPr>
                <w:rFonts w:ascii="Arial" w:cs="Arial" w:eastAsia="Arial" w:hAnsi="Arial"/>
                <w:sz w:val="13"/>
                <w:szCs w:val="13"/>
                <w:color w:val="auto"/>
              </w:rPr>
              <w:t>to the audited consolidated financial statements included elsewhere in this prospectus.</w:t>
            </w:r>
          </w:p>
        </w:tc>
      </w:tr>
    </w:tbl>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Receivables Agreement</w:t>
      </w:r>
    </w:p>
    <w:p>
      <w:pPr>
        <w:spacing w:after="0" w:line="12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expect to obtain an increase in our share of the tax basis of the tangible and intangible assets of QLH as a result of (i) our purchase (through Intermediate Holdco) of Class B-1 units of QLH from certain unitholders (including the Selling Class B-1 Unit Holders) in connection with the IPO, (ii) the Pre-IPO Leveraged Distribution and other actual or deemed distributions by QLH to its members, and (iii) certain post-IPO exchanges (including</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connection with this offering) of Class B-1 units of QLH, together with an equal number of shares of our Class B common stock, for shares of our Class A common stock (or, at our election, cash of an equivalent value). These increases in tax basis are expected to increase our depreciation and amortization deductions (for tax purposes)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w:t>
      </w:r>
    </w:p>
    <w:p>
      <w:pPr>
        <w:spacing w:after="0" w:line="1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connection with the IPO, we entered into the Tax Receivables Agreement (“TRA”) with Insignia, the Senior Executives, and White Mountains related to the tax basis step-up of the assets of QLH and certain net operating losses of Intermediate Holdco. The agreement requires us to pay Insignia and the Senior Executives 85% of the cash savings, if any, in U.S. federal, state and local income tax we realize (or are deemed to realize) as a result of (i) any increases in tax basis following our purchase (through Intermediate Holdco) of Class B-1 units of QLH from certain unitholders (including the Selling Class B-1 Unit Holders) in connection with the IPO, as well as any post-IPO exchanges (including in connection with this offering) described above, (ii) the Pre-IPO Leveraged Distribution and other actual or deemed distributions by QLH to its members that result in tax basis adjustments to the assets of QLH, and (iii) certain other tax benefits attributable to payments under the TRA itself.</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TRA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this offering and the deduction of any imputed interest attributable to our payment obligations under the TRA. We currently estimate that the amount of any such net operating losses is immaterial. We will benefit from the remaining 15% of any realized (or deemed to be realized) cash tax savings. For a description of the TRA, see “Organizational structure—Tax receivables agreement.”</w:t>
      </w:r>
    </w:p>
    <w:p>
      <w:pPr>
        <w:spacing w:after="0" w:line="103"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We expect the payments we make under the TRA to be significant. We will account for the income tax effects and corresponding TRA’s effects resulting from future exchanges (including in connection with this offering) of Class B-1 units of QLH by us by recognizing an increase in our deferred tax assets, based on enacted tax rates at the date of the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(loss). Similarly, the effect of subsequent changes in the enacted tax rates will be included in net income (loss). Judgement is required in assessing the future tax consequences of events that have been recognized in our consolidated financial statements. A change in our assessment of such consequences, such as realization of deferred tax assets, changes in tax laws or interpretations thereof could materially impact our results.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Off-balance sheet arrangements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not entered into any off-balance sheet arrangements, as defined in Regulation S-K.</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Recent accounting pronouncements</w:t>
      </w:r>
    </w:p>
    <w:p>
      <w:pPr>
        <w:spacing w:after="0" w:line="134"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For a discussion of new accounting pronouncements recently adopted and not yet adopted, see the notes to our consolidated financial statements included elsewhere in this prospectus.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3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prepare our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the estimates used in the preparation of our condensed consolidated financial statements, which, in turn, could change our results from those reported. We evaluate our critical accounting estimates, assumptions and judgments on an ongoing basis.</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goodwill and intangible assets, impairment of long-lived assets, equity-based compensation, income taxes, and payable to related parties under the tax receivable agreement.</w:t>
      </w:r>
    </w:p>
    <w:p>
      <w:pPr>
        <w:spacing w:after="0" w:line="102"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8"/>
          <w:szCs w:val="18"/>
          <w:color w:val="auto"/>
        </w:rPr>
        <w:t>See Note</w:t>
      </w:r>
      <w:r>
        <w:rPr>
          <w:sz w:val="20"/>
          <w:szCs w:val="20"/>
          <w:color w:val="auto"/>
        </w:rPr>
        <w:tab/>
      </w:r>
      <w:r>
        <w:rPr>
          <w:rFonts w:ascii="Arial" w:cs="Arial" w:eastAsia="Arial" w:hAnsi="Arial"/>
          <w:sz w:val="16"/>
          <w:szCs w:val="16"/>
          <w:color w:val="auto"/>
        </w:rPr>
        <w:t>to the audited consolidated financial statements included elsewhere in this prospectus.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4"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For a description of our policies with respect to revenue recognition, see “—Key components of our results of operations—Revenue” in this section.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account for business combinations in accordance with ASC 805, which requires, among other things, the acquiring entity in a business combination to recognize the fair value of all the assets acquired and liabilities assumed; the recognition of acquisition-related costs in the consolidated results of operations; the recognition of restructuring costs in the consolidated results of operations for which the acquirer becomes obligated after the acquisition date; and contingent purchase consideration to be recognized at their fair values on the acquisition date with subsequent adjustments recognized in the consolidated results of operations. The excess of the purchase price over the fair value of the identified assets and liabilities is recorded as goodwill. Operating results of the acquired entity are reflected in our consolidated financial statements from the date of acquisition.</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perform valuations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estimates of future revenue, costs, and cash flows, discount rates and selection of comparable companies and comparable transactions. For material acquisitions, we engage the assistance of valuation specialists in concluding on fair value measurements of certain assets acquired or liabilities assumed in a business combination. During the measurement period, which is not to exceed one year from the acquisition date, we may record adjustments to the assets acquired and liabilities assumed, with the corresponding offset to goodwill.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24"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but rather is evaluated for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impairment on an annual basis, or whenever indications of potential impairment exist. In the absence of any indications of potential impairment, the evaluation of goodwill is performed during the fourth quarter of each year. For the purposes of goodwill impairment testing, the Company has one reporting unit.</w:t>
      </w:r>
    </w:p>
    <w:p>
      <w:pPr>
        <w:spacing w:after="0" w:line="100"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Goodwill impairment is the amount by which a reporting unit’s carrying value exceeds its fair value, not to exceed the carrying amount of goodwill. When testing goodwill for impairment, we first perform a qualitative assessment to determine whether it is necessary to perform a goodwill impairment test. We are required to perform a goodwill impairment test only if we conclude that it is more likely than not that the reporting unit’s fair value is less than the carrying value of its assets. Should this be the case, the next step is to identify whether a potential impairment exists by comparing the estimated fair value of the reporting unit with the carrying value, including goodwill. If the estimated fair value of the reporting unit exceeds the carrying value, goodwill is not considered to be impaired and no additional steps are necessary. If, however, the fair value of the reporting unit is less than its carrying value, then the amount of the impairment loss is the amount by which the reporting unit’s carrying value exceeds its fair value, not to exceed the carrying amount of goodwill.</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2019, there were no impairments recognized for goodwill.</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Long-lived assets such as property and equipment and intangible assets are reviewed for impairment whenever events or changes in circumstances indicate that the carrying amount of an asset group may not be recoverable. Factors that we consider in deciding when to perform an impairment review include significant underperformance of our business in relation to expectations, significant negative industry or economic trends and significant changes or planned changes in the use of our assets. An impairment loss is recognized on long-lived assets in the consolidated statement of operations when indicators of impairment are present and the undiscounted cash flows estimated to be generated by those assets are less than the carrying amount of the assets. In such cases, the carrying value of these assets are adjusted to their estimated fair values and assets held for sale are adjusted to their estimated fair values less selling expenses.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2019, there were no impairments recognized for long-lived assets.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are subject to U.S. federal, state and foreign income taxes with respect to our allocable share of any taxable income or loss of QLH, as well as any stand-alone income or loss we generate. Significant judgment is required in determining our provision or benefit for income taxes and in evaluating uncertain tax positions.</w:t>
      </w:r>
    </w:p>
    <w:p>
      <w:pPr>
        <w:spacing w:after="0" w:line="100"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We account for income taxes under the asset and liability method, which requires the recognition of deferred tax assets and liabilities for the expected future tax consequences of events included in our consolidated financial statements. Under this method, we determine deferred tax assets and liabilities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on our consolidated statement of operations in the period in which the enactment date occurs.</w:t>
      </w:r>
    </w:p>
    <w:p>
      <w:pPr>
        <w:spacing w:after="0" w:line="78"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record valuation allowances against our deferred tax assets when they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recognize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realized.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Payable to related parties pursuant to the tax receivables agreement</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As described in Note to the audited consolidated financial statements included elsewhere in this prospectus, we are a party to the tax receivables agreement, under which we are contractually committed to pay the non-controlling interest holders in QLH 85% of the amount of any tax benefits that we actually realize, or in some cases are deemed to realize as a result of certain transactions. Amounts payable under the tax receivables agreement are contingent upon, among other things, the generation of future taxable income over the term of the tax receivables agreement. The projection of future taxable income involves significant judgement. In projecting future taxable income, we consider our historical results and incorporate certain assumptions including the growth rate of the Company and the amount, character, and timing of the taxable income in the future. Actual taxable income may differ from our estimates, which could significantly impact the liability under the tax receivables agreement.</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Additionally, we estimate the amount of tax receivables agreement payments expected to be paid within the next 12 months and classify this amount as current on our Consolidated Balance Sheets. This determination is based on our estimate of taxable income for the next fiscal year. To the extent our estimate differs from actual results, we may be required to reclassify portions of our liabilities under the tax receivables agreement between current and non-current.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3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rates.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2020 Credit Facilities bear interest at a variable rate. As a result, we may be exposed to fluctuations in interest rates to the extent of our outstanding borrowings under the 2020 Credit Facilities. A hypothetical 1.0% increase or decrease in the interest rate associated with the 2020 Credit Facilities would have resulted in a $0.5 million impact to interest expense for the period starting September 23, 2020 (the date on which we entered into the 2020 Credit Agreement) and ending December 31,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of significant demand and supply partners</w:t>
      </w:r>
    </w:p>
    <w:p>
      <w:pPr>
        <w:spacing w:after="0" w:line="124" w:lineRule="exact"/>
        <w:rPr>
          <w:sz w:val="20"/>
          <w:szCs w:val="20"/>
          <w:color w:val="auto"/>
        </w:rPr>
      </w:pPr>
    </w:p>
    <w:p>
      <w:pPr>
        <w:ind w:left="120" w:right="540"/>
        <w:spacing w:after="0" w:line="238" w:lineRule="auto"/>
        <w:rPr>
          <w:sz w:val="20"/>
          <w:szCs w:val="20"/>
          <w:color w:val="auto"/>
        </w:rPr>
      </w:pPr>
      <w:r>
        <w:rPr>
          <w:rFonts w:ascii="Arial" w:cs="Arial" w:eastAsia="Arial" w:hAnsi="Arial"/>
          <w:sz w:val="18"/>
          <w:szCs w:val="18"/>
          <w:color w:val="auto"/>
        </w:rPr>
        <w:t>We maintain cash balances that can, at times, exceed amounts insured by the Federal Deposit Insurance Corporation. We have not experienced any losses in these accounts and believe we are not exposed to any unusual credit risk in this area based on the financial strength of institutions with which we maintain our deposits.</w:t>
      </w:r>
    </w:p>
    <w:p>
      <w:pPr>
        <w:spacing w:after="0" w:line="100"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Our accounts receivable, which are unsecured, may expose us to credit risks due to collectability. We control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receivables, and recording allowances for doubtful accounts when these receivables become uncollectible.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Internal control over financial reporting and evaluation of disclosure controls and procedures</w:t>
      </w:r>
    </w:p>
    <w:p>
      <w:pPr>
        <w:spacing w:after="0" w:line="134"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As of December 31, 2020,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officer and principal financial officer or persons performing similar functions, as appropriate to allow timely decisions regarding disclosure.</w:t>
      </w:r>
    </w:p>
    <w:p>
      <w:pPr>
        <w:spacing w:after="0" w:line="8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Based on that evaluation, our principal executive officer and our principal financial officer have concluded that as of December 31, 2020, our disclosure controls and procedures were not effective because of the material weakness in our internal control over financial reporting, described below.</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As previously reported, we identified a material weakness related to the accounting for equity-based compensation arrangements. Specifically, we did not design and maintain effective controls to ensure that the applicable guidance and accounting policies were appropriately applied to equity-based compensation arrangements and were properly reflected in our consolidated financial statements. The control deficiency could result in a misstatement to the aforementioned accounts and disclosures that would result in a material misstatement of our consolidated financial statements that would not be prevented or detected, and accordingly, we determined this control deficiency constitutes a material weakness.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Management’s Remediation plan of Previously Identified Material Weaknesses</w:t>
      </w:r>
    </w:p>
    <w:p>
      <w:pPr>
        <w:spacing w:after="0" w:line="122" w:lineRule="exact"/>
        <w:rPr>
          <w:sz w:val="20"/>
          <w:szCs w:val="20"/>
          <w:color w:val="auto"/>
        </w:rPr>
      </w:pPr>
    </w:p>
    <w:p>
      <w:pPr>
        <w:ind w:left="120" w:right="620"/>
        <w:spacing w:after="0" w:line="239" w:lineRule="auto"/>
        <w:rPr>
          <w:sz w:val="20"/>
          <w:szCs w:val="20"/>
          <w:color w:val="auto"/>
        </w:rPr>
      </w:pPr>
      <w:r>
        <w:rPr>
          <w:rFonts w:ascii="Arial" w:cs="Arial" w:eastAsia="Arial" w:hAnsi="Arial"/>
          <w:sz w:val="18"/>
          <w:szCs w:val="18"/>
          <w:color w:val="auto"/>
        </w:rPr>
        <w:t>Management developed and is executing a remediation plan to address the material weakness related to lack of appropriate technical accounting experts and supervisory personnel through hiring additional accounting and financial reporting experts.</w:t>
      </w:r>
    </w:p>
    <w:p>
      <w:pPr>
        <w:spacing w:after="0" w:line="101"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As part of our remedial efforts, we hired a VP, Corporate Controller and Director of Financial Reporting and Technical Accounting with the requisite public company reporting and accounting expertise. In addition, we engaged external experts from a professional services accounting firm with technical expertise in the accounting for equity-based compensation arrangements. We are also in process of implementing a third-party equity management software to streamline and automate equity-based compensation arrangements and enforce appropriate accounting and reporting.</w:t>
      </w:r>
    </w:p>
    <w:p>
      <w:pPr>
        <w:spacing w:after="0" w:line="10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While significant progress has been made, additional time is required to complete implementation and to assess and ensure the sustainability of the relevant processes. The material weakness cannot be considered remediated until the applicable remedial controls operate for a sufficient period of time and we have concluded, through testing, that these controls are designed and operating effectively.</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management is required to apply its judgment in evaluating the benefits of possible controls and procedures relative to their cost.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company</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$1.4 billion in Transaction Value across our platform over the last two years.</w:t>
      </w:r>
    </w:p>
    <w:p>
      <w:pPr>
        <w:spacing w:after="0" w:line="103" w:lineRule="exact"/>
        <w:rPr>
          <w:sz w:val="20"/>
          <w:szCs w:val="20"/>
          <w:color w:val="auto"/>
        </w:rPr>
      </w:pPr>
    </w:p>
    <w:p>
      <w:pPr>
        <w:ind w:left="120" w:right="160"/>
        <w:spacing w:after="0" w:line="275" w:lineRule="auto"/>
        <w:rPr>
          <w:sz w:val="20"/>
          <w:szCs w:val="20"/>
          <w:color w:val="auto"/>
        </w:rPr>
      </w:pPr>
      <w:r>
        <w:rPr>
          <w:rFonts w:ascii="Arial" w:cs="Arial" w:eastAsia="Arial" w:hAnsi="Arial"/>
          <w:sz w:val="16"/>
          <w:szCs w:val="16"/>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53975</wp:posOffset>
            </wp:positionV>
            <wp:extent cx="5203190" cy="23145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0319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60"/>
        <w:spacing w:after="0" w:line="230" w:lineRule="auto"/>
        <w:rPr>
          <w:sz w:val="20"/>
          <w:szCs w:val="20"/>
          <w:color w:val="auto"/>
        </w:rPr>
      </w:pPr>
      <w:r>
        <w:rPr>
          <w:rFonts w:ascii="Arial" w:cs="Arial" w:eastAsia="Arial" w:hAnsi="Arial"/>
          <w:sz w:val="11"/>
          <w:szCs w:val="11"/>
          <w:color w:val="FFFFFF"/>
        </w:rPr>
        <w:t>CARRIERS CUSTOMER ACQUISITION JOURNEY $$ DTC Budget $$$$ Traditional Insurance DTC Model Channel Type of policy Zip code Limited Targeting attributes Targeting 35+ Targeting attributes Type of policy Age Source of traffic Zip code Gender Marital Status Income Risk score Home Owner LTV? CAC? Blind bidding Execution Transparent Bidding LTV &gt; CAC LTV &lt; CAC Low Conversion &amp; ROI Conversion High Conversion &amp; ROI</w:t>
      </w:r>
    </w:p>
    <w:p>
      <w:pPr>
        <w:spacing w:after="0" w:line="72"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LTV consumers, or an insurance-focused research destination looking to monetize the high-intent insurance shoppers on their websites. Our model’s versatility allows for the same insurance carrier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89535</wp:posOffset>
            </wp:positionV>
            <wp:extent cx="5194935" cy="27432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9493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60" w:right="20"/>
        <w:spacing w:after="0" w:line="197" w:lineRule="auto"/>
        <w:rPr>
          <w:sz w:val="20"/>
          <w:szCs w:val="20"/>
          <w:color w:val="auto"/>
        </w:rPr>
      </w:pPr>
      <w:r>
        <w:rPr>
          <w:rFonts w:ascii="Arial" w:cs="Arial" w:eastAsia="Arial" w:hAnsi="Arial"/>
          <w:sz w:val="10"/>
          <w:szCs w:val="10"/>
          <w:color w:val="FFFFFF"/>
        </w:rPr>
        <w:t>High-intent consumers shopping online Carrier uses MediaAlpha platform to assist consumers unlikely to convert MediaAlpha platform conducts real-time auction MediaAlpha algorithms optimize choice and display of options MediaAlpha generates revenue when consumers select alternative carriers Supply Partner Maximizes value of non-converting consumer Demand Partner Opportunity to acquire high-intent, target customers Yield optimization real time auction lifetime value + conversion probability powered by Mediaalpha good partners your quote: $150</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 ended December 31, 2020, we had 15 of the top 20 largest auto insurance carriers by customer acquisition spend as demand</w:t>
      </w:r>
    </w:p>
    <w:p>
      <w:pPr>
        <w:spacing w:after="0" w:line="19"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partners on our platform, accounting for % of our revenue. Of these demand partners, 67% were also supply partners in our ecosystem. On a monthly basis, an average of 31.2 million consumers shop for insurance products through the websites of our diversified group of supply partners and our proprietary websites, driving an average of over 6.6 million Consumer Referrals on our platform for the year ended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10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over 35 separate consumer attributes to manage customized acquisition strategies. We enable our insurance partners to target consumers based on a precise calculation of the expected lifetime value to that partner and to make real-time, automated customer acquisition decisions through a combination of granular price management tools and robust predictive analytics capabilities.</w:t>
      </w:r>
    </w:p>
    <w:p>
      <w:pPr>
        <w:spacing w:after="0" w:line="102"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We built our business model to align the interests of all parties participating on our platform. We generate revenue by earning a fee for each Consumer Referral sold on our platform. Our revenue is not contingent on the sale of an insurance product to the consumer.</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a track record of delivering rapid and profitable growth, enabled by our unique business model and technology platform. For the year</w:t>
      </w:r>
    </w:p>
    <w:p>
      <w:pPr>
        <w:spacing w:after="0" w:line="1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ended December 31, 2020, we generated $ million of revenue, representing a % increase over the $408.0 million of revenue that we generated for the year ended December 31, 2019. This translated to net income of $ million for the year ended December 31, 2020, a decrease of % over the $17.8 million of net income we generated for the year ended December 31, 2019.</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auto"/>
              </w:rPr>
              <w:t>We also generated $</w:t>
            </w:r>
          </w:p>
        </w:tc>
        <w:tc>
          <w:tcPr>
            <w:tcW w:w="7040" w:type="dxa"/>
            <w:vAlign w:val="bottom"/>
          </w:tcPr>
          <w:p>
            <w:pPr>
              <w:ind w:left="320"/>
              <w:spacing w:after="0"/>
              <w:rPr>
                <w:sz w:val="20"/>
                <w:szCs w:val="20"/>
                <w:color w:val="auto"/>
              </w:rPr>
            </w:pPr>
            <w:r>
              <w:rPr>
                <w:rFonts w:ascii="Arial" w:cs="Arial" w:eastAsia="Arial" w:hAnsi="Arial"/>
                <w:sz w:val="18"/>
                <w:szCs w:val="18"/>
                <w:color w:val="auto"/>
              </w:rPr>
              <w:t>million of Adjusted EBITDA for the year ended December 31, 2020, representing a</w:t>
            </w:r>
          </w:p>
        </w:tc>
        <w:tc>
          <w:tcPr>
            <w:tcW w:w="1860" w:type="dxa"/>
            <w:vAlign w:val="bottom"/>
          </w:tcPr>
          <w:p>
            <w:pPr>
              <w:ind w:left="320"/>
              <w:spacing w:after="0"/>
              <w:rPr>
                <w:sz w:val="20"/>
                <w:szCs w:val="20"/>
                <w:color w:val="auto"/>
              </w:rPr>
            </w:pPr>
            <w:r>
              <w:rPr>
                <w:rFonts w:ascii="Arial" w:cs="Arial" w:eastAsia="Arial" w:hAnsi="Arial"/>
                <w:sz w:val="18"/>
                <w:szCs w:val="18"/>
                <w:color w:val="auto"/>
                <w:w w:val="95"/>
              </w:rPr>
              <w:t>% increase over the</w:t>
            </w:r>
          </w:p>
        </w:tc>
      </w:tr>
      <w:tr>
        <w:trPr>
          <w:trHeight w:val="211"/>
        </w:trPr>
        <w:tc>
          <w:tcPr>
            <w:tcW w:w="8960" w:type="dxa"/>
            <w:vAlign w:val="bottom"/>
            <w:gridSpan w:val="2"/>
          </w:tcPr>
          <w:p>
            <w:pPr>
              <w:spacing w:after="0"/>
              <w:rPr>
                <w:sz w:val="20"/>
                <w:szCs w:val="20"/>
                <w:color w:val="auto"/>
              </w:rPr>
            </w:pPr>
            <w:r>
              <w:rPr>
                <w:rFonts w:ascii="Arial" w:cs="Arial" w:eastAsia="Arial" w:hAnsi="Arial"/>
                <w:sz w:val="18"/>
                <w:szCs w:val="18"/>
                <w:color w:val="auto"/>
              </w:rPr>
              <w:t>$42.9 million of Adjusted EBITDA generated for the year ended December 31, 2019.</w:t>
            </w:r>
            <w:r>
              <w:rPr>
                <w:rFonts w:ascii="Arial" w:cs="Arial" w:eastAsia="Arial" w:hAnsi="Arial"/>
                <w:sz w:val="11"/>
                <w:szCs w:val="11"/>
                <w:b w:val="1"/>
                <w:bCs w:val="1"/>
                <w:color w:val="auto"/>
              </w:rPr>
              <w:t>(1)</w:t>
            </w:r>
          </w:p>
        </w:tc>
        <w:tc>
          <w:tcPr>
            <w:tcW w:w="1860" w:type="dxa"/>
            <w:vAlign w:val="bottom"/>
          </w:tcPr>
          <w:p>
            <w:pPr>
              <w:spacing w:after="0"/>
              <w:rPr>
                <w:sz w:val="18"/>
                <w:szCs w:val="18"/>
                <w:color w:val="auto"/>
              </w:rPr>
            </w:pPr>
          </w:p>
        </w:tc>
      </w:tr>
    </w:tbl>
    <w:p>
      <w:pPr>
        <w:spacing w:after="0" w:line="100"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We designed our business model to be capital efficient, with high operating leverage and cash flow conversion. Since inception and prior to our IPO, we have funded our growth through internally generated cash flow with no outside primary capital. Our strong cash flow generation is driven by (i) the nature of our revenue model, which is fee based and generated at the time a Consumer Referral is sold, and (ii) our</w:t>
      </w:r>
    </w:p>
    <w:p>
      <w:pPr>
        <w:ind w:left="120" w:right="160"/>
        <w:spacing w:after="0" w:line="239" w:lineRule="auto"/>
        <w:rPr>
          <w:sz w:val="20"/>
          <w:szCs w:val="20"/>
          <w:color w:val="auto"/>
        </w:rPr>
      </w:pPr>
      <w:r>
        <w:rPr>
          <w:rFonts w:ascii="Arial" w:cs="Arial" w:eastAsia="Arial" w:hAnsi="Arial"/>
          <w:sz w:val="18"/>
          <w:szCs w:val="18"/>
          <w:color w:val="auto"/>
        </w:rPr>
        <w:t>proprietary technology platform, which is highly scalable and requires minimal capital expenditure requirements ($ million for the year ended December 31, 2020 and $0.1 million for the year ended December 31, 2019).</w:t>
      </w:r>
    </w:p>
    <w:p>
      <w:pPr>
        <w:spacing w:after="0" w:line="101"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The foundation of our success is our company culture. Personal development is critical to our team’s engagement and retention, and we continually invest to support our core values of open-mindedness, intellectual curiosity, candor, and humility. This has resulted in a growth-minded team, with exceptionally low turnover, committed to building great products and the long-term success of our partners.</w:t>
      </w:r>
    </w:p>
    <w:p>
      <w:pPr>
        <w:spacing w:after="0" w:line="100"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We are poised to capitalize on the expected growth in our core insurance verticals and the continued shift in these markets to direct, digital distribution. We aim to drive deeper adoption and integration of our platform within the insurance ecosystem to continue delivering strong results to our partners. While our focus remains on insurance, we plan to continue to grow opportunistically in sectors with similar market dynamics.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market opportunity</w:t>
      </w:r>
    </w:p>
    <w:p>
      <w:pPr>
        <w:spacing w:after="0" w:line="13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Insurance is one of the largest industries in the United States, with attractive growth characteristics and market fundamentals. Insurance companies wrote over $2 trillion in premiums in 2019, and the industry grew at a 6% CAGR from 2017 through 2019, according to the NAIC. Demand for insurance products is stable, due to, in many instances, coverage being mandatory by law (for example, auto insurance) or federally subsidized (for example, senior health insurance). The industry as a whole is highly competitive and invests heavily in customer acquisition. Total customer acquisition spend in the insurance industry was approximately $144 billion in 2019, representing year over year growth of approximately 6%, according to S&amp;P Global Market Intelligence.</w:t>
      </w:r>
    </w:p>
    <w:p>
      <w:pPr>
        <w:spacing w:after="0" w:line="102"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Our technology platform was created to serve and grow with our insurance end markets. As such, we believe secular trends in the insurance industry will continue to provide strong tailwinds for our business.</w:t>
      </w:r>
    </w:p>
    <w:p>
      <w:pPr>
        <w:spacing w:after="0" w:line="94" w:lineRule="exact"/>
        <w:rPr>
          <w:sz w:val="20"/>
          <w:szCs w:val="20"/>
          <w:color w:val="auto"/>
        </w:rPr>
      </w:pPr>
    </w:p>
    <w:p>
      <w:pPr>
        <w:ind w:left="340" w:right="20" w:hanging="224"/>
        <w:spacing w:after="0" w:line="27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Direct-to-consumer is the fastest growing insurance distribution channel. </w:t>
      </w:r>
      <w:r>
        <w:rPr>
          <w:rFonts w:ascii="Arial" w:cs="Arial" w:eastAsia="Arial" w:hAnsi="Arial"/>
          <w:sz w:val="16"/>
          <w:szCs w:val="16"/>
          <w:color w:val="auto"/>
        </w:rPr>
        <w:t>In the auto insurance industry, there are direct-to-consumer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carriers (such as Progressive and GEICO) and more traditional, agent-based carriers (such as Liberty Mutual and Allstate). DTC carriers accounted for approximately 30% of industry premiums in 2018, up from approximately 23% in 2013, according to S&amp;P Global Market Intelligence. This industry shift to more direct distribution is accelerating. According to J.D. Power, GEICO and Progressive captured nearly 84% of premium growth within the auto insurance industry in 2019. This growth is largely driven by their outsized investments, relative to peers, in direct customer acquisition channels. According to S&amp;P Global Market Intelligence, GEICO’s customer acquisition spend increased from $0.9 billion in 2017 to $1.7 billion in 2019, representing 82% growth, and Progressive’s customer acquisition spend increased from $1.5 billion in 2017 to $1.9 billion in 2019, representing 28% growth. Traditional, agent-based carriers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0" w:lineRule="exact"/>
        <w:rPr>
          <w:sz w:val="20"/>
          <w:szCs w:val="20"/>
          <w:color w:val="auto"/>
        </w:rPr>
      </w:pPr>
    </w:p>
    <w:p>
      <w:pPr>
        <w:ind w:left="540" w:right="160" w:hanging="424"/>
        <w:spacing w:after="0" w:line="224" w:lineRule="auto"/>
        <w:tabs>
          <w:tab w:leader="none" w:pos="54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“Adjusted EBITDA” is a non-GAAP financial measure that we present in this prospectus to supplement the financial information we present on a GAAP basis. For a reconciliation of Adjusted EBITDA to the most directly comparable financial measure calculated and presented in accordance with GAAP, see “Management’s discussion and analysis of financial condition and results of operations—Key business and operating metrics.”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60"/>
        <w:spacing w:after="0" w:line="237" w:lineRule="auto"/>
        <w:rPr>
          <w:sz w:val="20"/>
          <w:szCs w:val="20"/>
          <w:color w:val="auto"/>
        </w:rPr>
      </w:pPr>
      <w:r>
        <w:rPr>
          <w:rFonts w:ascii="Arial" w:cs="Arial" w:eastAsia="Arial" w:hAnsi="Arial"/>
          <w:sz w:val="18"/>
          <w:szCs w:val="18"/>
          <w:color w:val="auto"/>
        </w:rPr>
        <w:t>responded by investing more heavily in direct customer acquisition efforts themselves, as well as launching digital brands (such as Nationwide and Spire), acquiring digital agencies (such as Prudential and AssuranceIQ), or acquiring digital insurers (such as Allstate and Squaretrade). At the same time, a number of personal lines InsurTech companies have entered the space to capitalize on this shift (such as Root, Lemonade, and Hippo).</w:t>
      </w:r>
    </w:p>
    <w:p>
      <w:pPr>
        <w:spacing w:after="0" w:line="100" w:lineRule="exact"/>
        <w:rPr>
          <w:sz w:val="20"/>
          <w:szCs w:val="20"/>
          <w:color w:val="auto"/>
        </w:rPr>
      </w:pPr>
    </w:p>
    <w:p>
      <w:pPr>
        <w:ind w:left="340" w:right="40"/>
        <w:spacing w:after="0" w:line="238" w:lineRule="auto"/>
        <w:rPr>
          <w:sz w:val="20"/>
          <w:szCs w:val="20"/>
          <w:color w:val="auto"/>
        </w:rPr>
      </w:pPr>
      <w:r>
        <w:rPr>
          <w:rFonts w:ascii="Arial" w:cs="Arial" w:eastAsia="Arial" w:hAnsi="Arial"/>
          <w:sz w:val="18"/>
          <w:szCs w:val="18"/>
          <w:color w:val="auto"/>
        </w:rPr>
        <w:t>Similarly, tech-enabled distribution businesses focused on health and life insurance, such as eHealth, GoHealth, and SelectQuote, have also emerged in recent years, with revenue growth in excess of 40% in 2019. These companies advertise and acquire customers primarily through digital means and rank among the largest distribution platforms for health and life insurance products.</w:t>
      </w:r>
    </w:p>
    <w:p>
      <w:pPr>
        <w:spacing w:after="0" w:line="93" w:lineRule="exact"/>
        <w:rPr>
          <w:sz w:val="20"/>
          <w:szCs w:val="20"/>
          <w:color w:val="auto"/>
        </w:rPr>
      </w:pPr>
    </w:p>
    <w:p>
      <w:pPr>
        <w:ind w:left="340" w:right="20" w:hanging="224"/>
        <w:spacing w:after="0" w:line="23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More insurance consumers are shopping online. </w:t>
      </w:r>
      <w:r>
        <w:rPr>
          <w:rFonts w:ascii="Arial" w:cs="Arial" w:eastAsia="Arial" w:hAnsi="Arial"/>
          <w:sz w:val="18"/>
          <w:szCs w:val="18"/>
          <w:color w:val="auto"/>
        </w:rPr>
        <w:t>Consumers are increasingly using the internet not just for research and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discovery but to purchase insurance as well. The J.D. Power 2020 U.S. Insurance Shopping Study suggests that 90% of consumers are open to purchasing their auto insurance online. A decade ago, 35% of consumers who had not made an online auto insurance policy purchase in the past said they would consider doing so in the future, according to the Comscore 2010 Online Auto Insurance Shopping Report. This shift is not only prevalent among younger insurance shoppers. According to LexisNexis Insurance Demand Meter, consumers 56 and older are the fastest growing online auto insurance shoppers in the first quarter of 2020. This older demographic is also going online for health information. According to BMC Health Services Research, 63% of people age 65 and older had obtained health information from a website in 2013.</w:t>
      </w:r>
    </w:p>
    <w:p>
      <w:pPr>
        <w:spacing w:after="0" w:line="99"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Insurance customer acquisition spending is growing. </w:t>
      </w:r>
      <w:r>
        <w:rPr>
          <w:rFonts w:ascii="Arial" w:cs="Arial" w:eastAsia="Arial" w:hAnsi="Arial"/>
          <w:sz w:val="18"/>
          <w:szCs w:val="18"/>
          <w:color w:val="auto"/>
        </w:rPr>
        <w:t>Total insurance customer acquisition spending in 2019 totaled $144 billion, 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 over the previous year, according to S&amp;P Global Market Intelligence. In fact, two of the top three most-advertised brands in the U.S. across traditional and online channels are insurance companies—Progressive and GEICO. Progressive’s customer acquisition spend grew approximately 29% year over year to nearly $1.7 billion in 2019, while GEICO’s customer acquisition spend grew almost 12% to nearly $2 billion in the same period. In the face of such aggressive spending and customer acquisition by DTC insurance carriers such as Progressive and GEICO, agent-based carriers are compelled to spend heavily to remain competitive.</w:t>
      </w:r>
    </w:p>
    <w:p>
      <w:pPr>
        <w:spacing w:after="0" w:line="94"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customer acquisition spending by insurers has plenty of headroom. </w:t>
      </w:r>
      <w:r>
        <w:rPr>
          <w:rFonts w:ascii="Arial" w:cs="Arial" w:eastAsia="Arial" w:hAnsi="Arial"/>
          <w:sz w:val="18"/>
          <w:szCs w:val="18"/>
          <w:color w:val="auto"/>
        </w:rPr>
        <w:t>According to William Blair, insurance carriers lag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acquisition spend in terms of percentage of budget allocated to digital. While the advertising industry as a whole now aligns its allocation of digital dollars with consumers’ time spent online (56% respectively in 2019), insurers allocate only 20-25% of their budgets to digital channels. Even category-leader Progressive is estimated to allocate only 30% of its budget to digital. William Blair further estimates that digital spend by the insurance industry is expected to grow at a 24% CAGR over the next six years, reaching approximately $16 billion by 2025, representing 31% of overall customer acquisition budgets.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Digital distribution market size ($bn) Property &amp; casualty Medicare Life 20192025 CAGR: 24% Sources: S&amp;P Global Market Intelligence,</w:t>
      </w:r>
    </w:p>
    <w:p>
      <w:pPr>
        <w:jc w:val="center"/>
        <w:ind w:right="-119"/>
        <w:spacing w:after="0" w:line="231" w:lineRule="auto"/>
        <w:rPr>
          <w:sz w:val="20"/>
          <w:szCs w:val="20"/>
          <w:color w:val="auto"/>
        </w:rPr>
      </w:pPr>
      <w:r>
        <w:rPr>
          <w:rFonts w:ascii="Arial" w:cs="Arial" w:eastAsia="Arial" w:hAnsi="Arial"/>
          <w:sz w:val="18"/>
          <w:szCs w:val="18"/>
          <w:color w:val="auto"/>
        </w:rPr>
        <w:t>CMS, eHealth, Kaiser Family Foundation, Americas Health Insurance Plans, William Blair Note: Numbers may not sum to totals due to</w:t>
      </w:r>
    </w:p>
    <w:p>
      <w:pPr>
        <w:jc w:val="center"/>
        <w:ind w:right="-119"/>
        <w:spacing w:after="0"/>
        <w:rPr>
          <w:sz w:val="20"/>
          <w:szCs w:val="20"/>
          <w:color w:val="auto"/>
        </w:rPr>
      </w:pPr>
      <w:r>
        <w:rPr>
          <w:rFonts w:ascii="Arial" w:cs="Arial" w:eastAsia="Arial" w:hAnsi="Arial"/>
          <w:sz w:val="18"/>
          <w:szCs w:val="18"/>
          <w:color w:val="auto"/>
        </w:rPr>
        <w:t xml:space="preserve">rounding </w:t>
      </w:r>
      <w:r>
        <w:rPr>
          <w:sz w:val="1"/>
          <w:szCs w:val="1"/>
          <w:color w:val="auto"/>
        </w:rPr>
        <w:drawing>
          <wp:inline distT="0" distB="0" distL="0" distR="0">
            <wp:extent cx="5212080" cy="2562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2562860"/>
                    </a:xfrm>
                    <a:prstGeom prst="rect">
                      <a:avLst/>
                    </a:prstGeom>
                    <a:noFill/>
                    <a:ln>
                      <a:noFill/>
                    </a:ln>
                  </pic:spPr>
                </pic:pic>
              </a:graphicData>
            </a:graphic>
          </wp:inline>
        </w:drawing>
      </w:r>
    </w:p>
    <w:p>
      <w:pPr>
        <w:spacing w:after="0" w:line="107" w:lineRule="exact"/>
        <w:rPr>
          <w:sz w:val="20"/>
          <w:szCs w:val="20"/>
          <w:color w:val="auto"/>
        </w:rPr>
      </w:pPr>
    </w:p>
    <w:p>
      <w:pPr>
        <w:ind w:left="340" w:hanging="224"/>
        <w:spacing w:after="0" w:line="238"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Carriers and distributors are increasingly focused on optimizing customer acquisition budgets. </w:t>
      </w:r>
      <w:r>
        <w:rPr>
          <w:rFonts w:ascii="Arial" w:cs="Arial" w:eastAsia="Arial" w:hAnsi="Arial"/>
          <w:sz w:val="18"/>
          <w:szCs w:val="18"/>
          <w:color w:val="auto"/>
        </w:rPr>
        <w:t>Mass-market customer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 is becoming more costly, leading carriers and distributors to increasingly focus on optimizing customer acquisition spend. They are able to do so by adopting the more sophisticated customer acquisition strategies enabled by data science. A significant percentage of marketers believe the inability to measure customer acquisition impact across channels and campaigns is one of their biggest challenges in demonstrating customer acquisition performance. We believe there is growing demand for improved transparency of Consumer Referral quality, for carriers to secure higher quality Consumer Referrals online, and for the ability to manage consumer acquisition spend across multiple vendors. A survey by CMO in February 2020 reported that marketing analytics spending is expected to increase by 56% in the next three years.</w:t>
      </w:r>
    </w:p>
    <w:p>
      <w:pPr>
        <w:spacing w:after="0" w:line="106"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MediaAlpha is poised to capitalize on these trends. We believe we provide one of the leading technology platforms that enables insurance carriers and distributors to efficiently acquire customers online at scale. Our platform allows buyers to target consumers granularly and to determine their pricing based on how they value various consumer segments. Buyers leveraging our predictive analytics and data science capabilities make value-maximizing decisions on how to acquire customers. This results in greater customer acquisition efficiency and better return on investment, allowing us to attract more buyers into the ecosystem. Simultaneously, we provide our supply partners the insights and tools they need to drive competition for their high-intent consumers and maximize yield, which draws more supply partners into the ecosystem, providing our buyers with even more high-quality demand sources. As both demand and supply partners begin to see the benefits of the platform, we deepen our relationships with them through additional integrations that drive more data into the platform. All of this creates the powerful “flywheel” effect that has propelled our business forward as a result of the value created within our ecosystem.</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center"/>
        <w:ind w:left="460" w:right="120"/>
        <w:spacing w:after="0" w:line="239" w:lineRule="auto"/>
        <w:rPr>
          <w:sz w:val="20"/>
          <w:szCs w:val="20"/>
          <w:color w:val="auto"/>
        </w:rPr>
      </w:pPr>
      <w:r>
        <w:rPr>
          <w:rFonts w:ascii="Arial" w:cs="Arial" w:eastAsia="Arial" w:hAnsi="Arial"/>
          <w:sz w:val="18"/>
          <w:szCs w:val="18"/>
          <w:color w:val="auto"/>
        </w:rPr>
        <w:t>Improved engagement with supply and demand partners More Data More accurate pricing Higher ROI More demand partners Higher yield More supply partners More volume More integrations Greater efficiency and ROI MediaAlpha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-5715</wp:posOffset>
            </wp:positionV>
            <wp:extent cx="5212080" cy="3068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208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platform</w:t>
      </w:r>
    </w:p>
    <w:p>
      <w:pPr>
        <w:spacing w:after="0" w:line="114" w:lineRule="exact"/>
        <w:rPr>
          <w:sz w:val="20"/>
          <w:szCs w:val="20"/>
          <w:color w:val="auto"/>
        </w:rPr>
      </w:pPr>
    </w:p>
    <w:p>
      <w:pPr>
        <w:ind w:left="120" w:right="260"/>
        <w:spacing w:after="0" w:line="262" w:lineRule="auto"/>
        <w:rPr>
          <w:sz w:val="20"/>
          <w:szCs w:val="20"/>
          <w:color w:val="auto"/>
        </w:rPr>
      </w:pPr>
      <w:r>
        <w:rPr>
          <w:rFonts w:ascii="Arial" w:cs="Arial" w:eastAsia="Arial" w:hAnsi="Arial"/>
          <w:sz w:val="18"/>
          <w:szCs w:val="18"/>
          <w:b w:val="1"/>
          <w:bCs w:val="1"/>
          <w:i w:val="1"/>
          <w:iCs w:val="1"/>
          <w:color w:val="auto"/>
        </w:rPr>
        <w:t xml:space="preserve">We have created one of the largest global insurance customer acquisition technology platforms. </w:t>
      </w:r>
      <w:r>
        <w:rPr>
          <w:rFonts w:ascii="Arial" w:cs="Arial" w:eastAsia="Arial" w:hAnsi="Arial"/>
          <w:sz w:val="18"/>
          <w:szCs w:val="18"/>
          <w:color w:val="auto"/>
        </w:rPr>
        <w:t>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we had $815.7 million in Transaction Value and served over 1,000 total insurance partners.</w:t>
      </w:r>
    </w:p>
    <w:p>
      <w:pPr>
        <w:spacing w:after="0" w:line="81"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buyers use our platform to access over 370 million high-intent consumers annually, sourced from over 380 insurance sellers as of December 31, 2020. We serve over 750 buyers across our core insurance verticals, including insurance carriers, InsurTech companies, agencies, and brokers. Our platform was designed for multiple Consumer Referral products and flexible deployment models to best serve the varying needs of our partners.</w:t>
      </w:r>
    </w:p>
    <w:p>
      <w:pPr>
        <w:spacing w:after="0" w:line="100"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Insurance carriers access our platform through a self-service web interface that enables them to manage customer acquisition strategies across all sources of Consumer Referrals, efficiently and with full transparency. Our platform provides insurance companies sophisticated targeting capabilities for efficient customer acquisition. Further, it offers our partners the ability to offset customer acquisition costs by using predictive analytics to refer non-converting consumers to other carriers, delivering better returns on investment relative to traditional channels.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Demand partners dashboard </w:t>
      </w:r>
      <w:r>
        <w:rPr>
          <w:sz w:val="1"/>
          <w:szCs w:val="1"/>
          <w:color w:val="auto"/>
        </w:rPr>
        <w:drawing>
          <wp:inline distT="0" distB="0" distL="0" distR="0">
            <wp:extent cx="4251960" cy="302577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1960" cy="3025775"/>
                    </a:xfrm>
                    <a:prstGeom prst="rect">
                      <a:avLst/>
                    </a:prstGeom>
                    <a:noFill/>
                    <a:ln>
                      <a:noFill/>
                    </a:ln>
                  </pic:spPr>
                </pic:pic>
              </a:graphicData>
            </a:graphic>
          </wp:inline>
        </w:drawing>
      </w:r>
    </w:p>
    <w:p>
      <w:pPr>
        <w:spacing w:after="0" w:line="23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Supply partners dashboard </w:t>
      </w:r>
      <w:r>
        <w:rPr>
          <w:sz w:val="1"/>
          <w:szCs w:val="1"/>
          <w:color w:val="auto"/>
        </w:rPr>
        <w:drawing>
          <wp:inline distT="0" distB="0" distL="0" distR="0">
            <wp:extent cx="4269105" cy="306006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69105" cy="3060065"/>
                    </a:xfrm>
                    <a:prstGeom prst="rect">
                      <a:avLst/>
                    </a:prstGeom>
                    <a:noFill/>
                    <a:ln>
                      <a:noFill/>
                    </a:ln>
                  </pic:spPr>
                </pic:pic>
              </a:graphicData>
            </a:graphic>
          </wp:inline>
        </w:drawing>
      </w:r>
    </w:p>
    <w:p>
      <w:pPr>
        <w:spacing w:after="0" w:line="94"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b w:val="1"/>
          <w:bCs w:val="1"/>
          <w:i w:val="1"/>
          <w:iCs w:val="1"/>
          <w:color w:val="auto"/>
        </w:rPr>
        <w:t xml:space="preserve">We connect insurance companies with websites where consumers shop for insurance. </w:t>
      </w:r>
      <w:r>
        <w:rPr>
          <w:rFonts w:ascii="Arial" w:cs="Arial" w:eastAsia="Arial" w:hAnsi="Arial"/>
          <w:sz w:val="18"/>
          <w:szCs w:val="18"/>
          <w:color w:val="auto"/>
        </w:rPr>
        <w:t>Insurance carriers and distributors are 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 high-intent consumers when they are actively shopping for insurance. Our end consumers typically access our partners’ websites or our proprietary websites looking for an insurance quote, where they volunteer relevant data in connection with their quote request. Our platform then controls the matching of these consumers with insurance companies, presenting them with multiple brands to choose from. We believe the rich data available with every consumer quote request gives our platform the unparalleled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99" w:lineRule="auto"/>
        <w:rPr>
          <w:sz w:val="20"/>
          <w:szCs w:val="20"/>
          <w:color w:val="auto"/>
        </w:rPr>
      </w:pPr>
      <w:r>
        <w:rPr>
          <w:rFonts w:ascii="Arial" w:cs="Arial" w:eastAsia="Arial" w:hAnsi="Arial"/>
          <w:sz w:val="16"/>
          <w:szCs w:val="16"/>
          <w:color w:val="auto"/>
        </w:rPr>
        <w:t>ability to direct each Consumer Referral to the right set of carriers. We maximize value to both demand and supply partners by allowing insurance companies to reach consumers when they are actively shopping and precisely target granular consumer segments using rich data.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We enable insurance companies to reach and acquire new customers in multiple ways. </w:t>
      </w:r>
      <w:r>
        <w:rPr>
          <w:rFonts w:ascii="Arial" w:cs="Arial" w:eastAsia="Arial" w:hAnsi="Arial"/>
          <w:sz w:val="18"/>
          <w:szCs w:val="18"/>
          <w:color w:val="auto"/>
        </w:rPr>
        <w:t>In our platform, end consumers can engage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insurance companies based on their preferences. Our platform enables consumers to (i) proceed to an insurance carrier’s website on a self-directed basis to purchase a policy (click), (ii) engage with an insurance carrier or agent via phone (call), or (iii) submit their data to insurance companies to receive inbound inquiries (lead). Our platform’s flexibility in turn enables insurance carriers to acquire and convert consumers through one or more touchpoints, depending on their strengths and preferences. As of December 31, 2020, clicks, calls, and leads represented 79.9%, 8.1%, and 12.0% of our Transaction Value, respectively.</w:t>
      </w:r>
    </w:p>
    <w:p>
      <w:pPr>
        <w:spacing w:after="0" w:line="8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b w:val="1"/>
          <w:bCs w:val="1"/>
          <w:i w:val="1"/>
          <w:iCs w:val="1"/>
          <w:color w:val="auto"/>
        </w:rPr>
        <w:t xml:space="preserve">Our platform leverages precise data and data science for maximum efficiency. </w:t>
      </w:r>
      <w:r>
        <w:rPr>
          <w:rFonts w:ascii="Arial" w:cs="Arial" w:eastAsia="Arial" w:hAnsi="Arial"/>
          <w:sz w:val="18"/>
          <w:szCs w:val="18"/>
          <w:color w:val="auto"/>
        </w:rPr>
        <w:t>Insurance carriers use precise data to target and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segments across demographic and geographic attributes on a source transparent basis. This allows insurance carriers to pay the right price for every customer acquisition opportunity based on their business objectives. Insurance carriers integrate with our platform to provide real-time conversion feedback, allowing them to measure returns granularly and execute algorithmic optimization of customer acquisition cost to match expected LTV. We have conversion data integrations with 15 of the top 20 insurance buyers as of December 31, 2020 representing 54% of Transaction Value attributed to our insurance verticals. Increasing the number and depth of our conversion integrations with our partners remains a key priority.</w:t>
      </w:r>
    </w:p>
    <w:p>
      <w:pPr>
        <w:spacing w:after="0" w:line="8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i w:val="1"/>
          <w:iCs w:val="1"/>
          <w:color w:val="auto"/>
        </w:rPr>
        <w:t xml:space="preserve">Insurance carriers are able to extract the maximum value from each consumer opportunity. </w:t>
      </w:r>
      <w:r>
        <w:rPr>
          <w:rFonts w:ascii="Arial" w:cs="Arial" w:eastAsia="Arial" w:hAnsi="Arial"/>
          <w:sz w:val="18"/>
          <w:szCs w:val="18"/>
          <w:color w:val="auto"/>
        </w:rPr>
        <w:t>We have extensive data integrations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partners to support efficient customer acquisition. These data integrations allow us to more seamlessly transact a Consumer Referral by taking information an end consumer has already provided and pre-populating it into an insurance carrier’s purchase process, potentially increasing policy conversion rates. This enhances the value of the Consumer Referral to our insurance carriers, adding significant value to all parties in our platform. Currently, we have 77 buyers with this type of integration in place for active and future campaigns, representing 70% of Transaction Value attributed to our insurance verticals as of December 31, 2020. Increasing the number and depth of our data integrations with our partners remains a key priority, and we believe this number will increase as our platform grows.</w:t>
      </w:r>
    </w:p>
    <w:p>
      <w:pPr>
        <w:spacing w:after="0" w:line="83" w:lineRule="exact"/>
        <w:rPr>
          <w:sz w:val="20"/>
          <w:szCs w:val="20"/>
          <w:color w:val="auto"/>
        </w:rPr>
      </w:pPr>
    </w:p>
    <w:p>
      <w:pPr>
        <w:ind w:left="120" w:right="100"/>
        <w:spacing w:after="0" w:line="279" w:lineRule="auto"/>
        <w:rPr>
          <w:sz w:val="20"/>
          <w:szCs w:val="20"/>
          <w:color w:val="auto"/>
        </w:rPr>
      </w:pPr>
      <w:r>
        <w:rPr>
          <w:rFonts w:ascii="Arial" w:cs="Arial" w:eastAsia="Arial" w:hAnsi="Arial"/>
          <w:sz w:val="16"/>
          <w:szCs w:val="16"/>
          <w:b w:val="1"/>
          <w:bCs w:val="1"/>
          <w:i w:val="1"/>
          <w:iCs w:val="1"/>
          <w:color w:val="auto"/>
        </w:rPr>
        <w:t>Our transaction models</w:t>
      </w:r>
      <w:r>
        <w:rPr>
          <w:rFonts w:ascii="Arial" w:cs="Arial" w:eastAsia="Arial" w:hAnsi="Arial"/>
          <w:sz w:val="16"/>
          <w:szCs w:val="16"/>
          <w:color w:val="auto"/>
        </w:rPr>
        <w:t>. We transact with our demand partners and supply partners through two operating models, open platform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platform. In our open platform transactions, we have separate agreements with demand partners and suppliers and have control over the Consumer Referrals that are sold to our demand partners. In our private platform transactions, demand partners and suppliers contract with one another directly, and we earn fees from our demand and supply partners based on the Consumer Referrals transacted. For a description of these arrangements, see “Management’s discussion and analysis—Key components of our results of operations—Revenue.”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technology</w:t>
      </w:r>
    </w:p>
    <w:p>
      <w:pPr>
        <w:spacing w:after="0" w:line="13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Our product is a technology platform that allows insurance carriers and distributors to acquire customers and optimize customer acquisition costs to align with expected customer LTV, in a single data-rich but user-friendly environment. Our technology is what enables our growth, scale, and operating leverage and differentiates us from our competitors. It is also what enables our partners to scale their customer acquisition and monetization, or both, efficiently and with minimal operating overhead. With over 79 million paid transactions on our platform in 2020, we believe we offer the largest source of Consumer Referrals in the insurance sector.</w:t>
      </w:r>
    </w:p>
    <w:p>
      <w:pPr>
        <w:spacing w:after="0" w:line="103"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Our product is a robust and real-time customer acquisition and predictive analytics platform. It is fueled by rich, anonymized consumer data through extensive data integrations. At the heart of our platform is a set of</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80"/>
        <w:spacing w:after="0" w:line="239" w:lineRule="auto"/>
        <w:rPr>
          <w:sz w:val="20"/>
          <w:szCs w:val="20"/>
          <w:color w:val="auto"/>
        </w:rPr>
      </w:pPr>
      <w:r>
        <w:rPr>
          <w:rFonts w:ascii="Arial" w:cs="Arial" w:eastAsia="Arial" w:hAnsi="Arial"/>
          <w:sz w:val="18"/>
          <w:szCs w:val="18"/>
          <w:color w:val="auto"/>
        </w:rPr>
        <w:t>proprietary predictive analytics algorithms that incorporate hundreds of variables to generate conversion probabilities for each unique consumer, enabling our partners to align customer acquisition costs with expected customer LTV across the platform.</w:t>
      </w:r>
    </w:p>
    <w:p>
      <w:pPr>
        <w:spacing w:after="0" w:line="101"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Our platform architecture is elegant, scalable, and vertical agnostic, which has enabled us to innovate rapidly in our core insurance verticals and grow opportunistically across sectors with similarly attractive attributes. We continuously invest in our technology and believe that our focus on innovation enhances our competitive position.</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 following attributes collectively differentiate the MediaAlpha technology platform:</w:t>
      </w:r>
    </w:p>
    <w:p>
      <w:pPr>
        <w:spacing w:after="0" w:line="84"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b w:val="1"/>
          <w:bCs w:val="1"/>
          <w:i w:val="1"/>
          <w:iCs w:val="1"/>
          <w:color w:val="auto"/>
        </w:rPr>
        <w:t xml:space="preserve">Multiple high-quality Consumer Referrals accessible through a single platform with transparent pricing and control. </w:t>
      </w:r>
      <w:r>
        <w:rPr>
          <w:rFonts w:ascii="Arial" w:cs="Arial" w:eastAsia="Arial" w:hAnsi="Arial"/>
          <w:sz w:val="18"/>
          <w:szCs w:val="18"/>
          <w:color w:val="auto"/>
        </w:rPr>
        <w:t>Most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carriers and distributors today have multiple sources for customer acquisition. These sources offer a wide range of Consumer Referral quality and, in most cases, must be managed manually and separately by insurance carriers. Our platform allows users to access multiple sources of Consumer Referrals made available by us transparently through a unified platform with a single sign-on, creating scale and operational efficiencies.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Proprietary user data integrated in a secure environment. </w:t>
      </w:r>
      <w:r>
        <w:rPr>
          <w:rFonts w:ascii="Arial" w:cs="Arial" w:eastAsia="Arial" w:hAnsi="Arial"/>
          <w:sz w:val="18"/>
          <w:szCs w:val="18"/>
          <w:color w:val="auto"/>
        </w:rPr>
        <w:t>Our platform allows buyers to fully integrate first-party consumer data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 targeting parameters, bidding granularity, and conversion tracking, resulting in more accurate customer acquisition and lifetime value predictions. We maintain robust data security protections and preserve the confidentiality of each insurance carrier’s customer acquisition strategy. We are able to seamlessly aggregate this data across all of our users to enhance our predictive analytics model while maintaining end-consumer confidentiality. We believe this has allowed us to continue strengthening our rich consumer database and analytics platform and maintain strong relationships with our partners.</w:t>
      </w:r>
    </w:p>
    <w:p>
      <w:pPr>
        <w:spacing w:after="0" w:line="81"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b w:val="1"/>
          <w:bCs w:val="1"/>
          <w:i w:val="1"/>
          <w:iCs w:val="1"/>
          <w:color w:val="auto"/>
        </w:rPr>
        <w:t xml:space="preserve">Robust data science tools to optimize customer acquisition. </w:t>
      </w:r>
      <w:r>
        <w:rPr>
          <w:rFonts w:ascii="Arial" w:cs="Arial" w:eastAsia="Arial" w:hAnsi="Arial"/>
          <w:sz w:val="18"/>
          <w:szCs w:val="18"/>
          <w:color w:val="auto"/>
        </w:rPr>
        <w:t>Our unique search and conversion datasets enable automated, algorithmic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acquisition optimizations. As our platform grows and processes more customer acquisition transactions, we gather more conversion data to further refine our predictive analytics algorithms. This further enhances our platform’s capability to predict our partners’ expected return per consumer and support more efficient customer acquisition strategies. We believe this creates a flywheel effect by which the attractiveness and value of our platform will grow as we continue to scale.</w:t>
      </w:r>
    </w:p>
    <w:p>
      <w:pPr>
        <w:spacing w:after="0" w:line="81" w:lineRule="exact"/>
        <w:rPr>
          <w:sz w:val="20"/>
          <w:szCs w:val="20"/>
          <w:color w:val="auto"/>
        </w:rPr>
      </w:pPr>
    </w:p>
    <w:p>
      <w:pPr>
        <w:ind w:left="120" w:right="540"/>
        <w:spacing w:after="0" w:line="244" w:lineRule="auto"/>
        <w:rPr>
          <w:sz w:val="20"/>
          <w:szCs w:val="20"/>
          <w:color w:val="auto"/>
        </w:rPr>
      </w:pPr>
      <w:r>
        <w:rPr>
          <w:rFonts w:ascii="Arial" w:cs="Arial" w:eastAsia="Arial" w:hAnsi="Arial"/>
          <w:sz w:val="18"/>
          <w:szCs w:val="18"/>
          <w:b w:val="1"/>
          <w:bCs w:val="1"/>
          <w:i w:val="1"/>
          <w:iCs w:val="1"/>
          <w:color w:val="auto"/>
        </w:rPr>
        <w:t xml:space="preserve">Self-service model. </w:t>
      </w:r>
      <w:r>
        <w:rPr>
          <w:rFonts w:ascii="Arial" w:cs="Arial" w:eastAsia="Arial" w:hAnsi="Arial"/>
          <w:sz w:val="18"/>
          <w:szCs w:val="18"/>
          <w:color w:val="auto"/>
        </w:rPr>
        <w:t>We offer a self-service model that empowers our partners to directly manage the buying and selling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independently. Supply partners can easily manage their digital consumer traffic on our platform, while demand partners can direct their consumer acquisition spend in real time with minimal involvement from our team. We believe this enables us to scale efficiently without requiring significant investments in sales and support functions.</w:t>
      </w:r>
    </w:p>
    <w:p>
      <w:pPr>
        <w:spacing w:after="0" w:line="76" w:lineRule="exact"/>
        <w:rPr>
          <w:sz w:val="20"/>
          <w:szCs w:val="20"/>
          <w:color w:val="auto"/>
        </w:rPr>
      </w:pPr>
    </w:p>
    <w:p>
      <w:pPr>
        <w:ind w:left="120"/>
        <w:spacing w:after="0" w:line="279" w:lineRule="auto"/>
        <w:rPr>
          <w:sz w:val="20"/>
          <w:szCs w:val="20"/>
          <w:color w:val="auto"/>
        </w:rPr>
      </w:pPr>
      <w:r>
        <w:rPr>
          <w:rFonts w:ascii="Arial" w:cs="Arial" w:eastAsia="Arial" w:hAnsi="Arial"/>
          <w:sz w:val="16"/>
          <w:szCs w:val="16"/>
          <w:b w:val="1"/>
          <w:bCs w:val="1"/>
          <w:i w:val="1"/>
          <w:iCs w:val="1"/>
          <w:color w:val="auto"/>
        </w:rPr>
        <w:t xml:space="preserve">Highly extensible and scalable platform. </w:t>
      </w:r>
      <w:r>
        <w:rPr>
          <w:rFonts w:ascii="Arial" w:cs="Arial" w:eastAsia="Arial" w:hAnsi="Arial"/>
          <w:sz w:val="16"/>
          <w:szCs w:val="16"/>
          <w:color w:val="auto"/>
        </w:rPr>
        <w:t>Our platform and industry-agnostic technology enables us to quickly expand our operations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and adjacent verticals with minimal investments. We have organically scaled the property &amp; casualty insurance vertical and the health and life insurance verticals to $550 million and $218 million in Transaction Value for the year ended December 31, 2020, respectively. While our focus remains on insurance, we will continue to grow opportunistically in sectors with similar, attractive market fundamentals. We believe our proprietary technology will allow us to react nimbly to growing demands and opportunities in emerging verticals.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target audience</w:t>
      </w:r>
    </w:p>
    <w:p>
      <w:pPr>
        <w:spacing w:after="0" w:line="114" w:lineRule="exact"/>
        <w:rPr>
          <w:sz w:val="20"/>
          <w:szCs w:val="20"/>
          <w:color w:val="auto"/>
        </w:rPr>
      </w:pPr>
    </w:p>
    <w:p>
      <w:pPr>
        <w:ind w:left="120" w:right="440"/>
        <w:spacing w:after="0" w:line="262" w:lineRule="auto"/>
        <w:rPr>
          <w:sz w:val="20"/>
          <w:szCs w:val="20"/>
          <w:color w:val="auto"/>
        </w:rPr>
      </w:pPr>
      <w:r>
        <w:rPr>
          <w:rFonts w:ascii="Arial" w:cs="Arial" w:eastAsia="Arial" w:hAnsi="Arial"/>
          <w:sz w:val="18"/>
          <w:szCs w:val="18"/>
          <w:b w:val="1"/>
          <w:bCs w:val="1"/>
          <w:i w:val="1"/>
          <w:iCs w:val="1"/>
          <w:color w:val="auto"/>
        </w:rPr>
        <w:t>Our buyers</w:t>
      </w:r>
      <w:r>
        <w:rPr>
          <w:rFonts w:ascii="Arial" w:cs="Arial" w:eastAsia="Arial" w:hAnsi="Arial"/>
          <w:sz w:val="18"/>
          <w:szCs w:val="18"/>
          <w:color w:val="auto"/>
        </w:rPr>
        <w:t>: Our demand partners are insurance carriers and distributors looking to target high-intent consumers deep in their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journey. Repeat buyers continue to be a strong driver of our growth, with</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96.7% of our Transaction Value for 2020 driven by repeat buyers from 2019 (with Transaction Value from such repeat buyers increasing</w:t>
      </w:r>
    </w:p>
    <w:p>
      <w:pPr>
        <w:ind w:left="120"/>
        <w:spacing w:after="0" w:line="239" w:lineRule="auto"/>
        <w:rPr>
          <w:sz w:val="20"/>
          <w:szCs w:val="20"/>
          <w:color w:val="auto"/>
        </w:rPr>
      </w:pPr>
      <w:r>
        <w:rPr>
          <w:rFonts w:ascii="Arial" w:cs="Arial" w:eastAsia="Arial" w:hAnsi="Arial"/>
          <w:sz w:val="18"/>
          <w:szCs w:val="18"/>
          <w:color w:val="auto"/>
        </w:rPr>
        <w:t>39.6% in 2020). Annual spend per demand partner on our platform who contribute over $1 million in Transaction Value annually has continued to increase from $6.0 million in 2019 to $9.0 million in 2020.</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 proposition for buyers</w:t>
      </w:r>
    </w:p>
    <w:p>
      <w:pPr>
        <w:spacing w:after="0" w:line="117" w:lineRule="exact"/>
        <w:rPr>
          <w:sz w:val="20"/>
          <w:szCs w:val="20"/>
          <w:color w:val="auto"/>
        </w:rPr>
      </w:pPr>
    </w:p>
    <w:p>
      <w:pPr>
        <w:ind w:left="340" w:right="40" w:hanging="224"/>
        <w:spacing w:after="0" w:line="24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Efficiency at scale. </w:t>
      </w:r>
      <w:r>
        <w:rPr>
          <w:rFonts w:ascii="Arial" w:cs="Arial" w:eastAsia="Arial" w:hAnsi="Arial"/>
          <w:sz w:val="18"/>
          <w:szCs w:val="18"/>
          <w:color w:val="auto"/>
        </w:rPr>
        <w:t>We believe we operate the insurance industry’s largest customer acquisition platform, delivering the volume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need to drive meaningful business results, while also providing precise targeting capabilities to ensure they connect with the right prospects. We believe this gives our demand partners the ability to realize greater efficiencies relative to other customer acquisition channels.</w:t>
      </w:r>
    </w:p>
    <w:p>
      <w:pPr>
        <w:spacing w:after="0" w:line="89" w:lineRule="exact"/>
        <w:rPr>
          <w:rFonts w:ascii="Arial" w:cs="Arial" w:eastAsia="Arial" w:hAnsi="Arial"/>
          <w:sz w:val="18"/>
          <w:szCs w:val="18"/>
          <w:color w:val="auto"/>
        </w:rPr>
      </w:pPr>
    </w:p>
    <w:p>
      <w:pPr>
        <w:jc w:val="both"/>
        <w:ind w:left="340" w:right="100" w:hanging="224"/>
        <w:spacing w:after="0" w:line="24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Granular and transparent control. </w:t>
      </w:r>
      <w:r>
        <w:rPr>
          <w:rFonts w:ascii="Arial" w:cs="Arial" w:eastAsia="Arial" w:hAnsi="Arial"/>
          <w:sz w:val="18"/>
          <w:szCs w:val="18"/>
          <w:color w:val="auto"/>
        </w:rPr>
        <w:t>Our platform allows for real-time, granular control and full-source transparency with every buying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decision. We believe this gives our buyers the flexibility they need to realize favorable lifetime value relative to customer acquisition costs to maximize their revenue opportunities.</w:t>
      </w:r>
    </w:p>
    <w:p>
      <w:pPr>
        <w:spacing w:after="0" w:line="87" w:lineRule="exact"/>
        <w:rPr>
          <w:rFonts w:ascii="Arial" w:cs="Arial" w:eastAsia="Arial" w:hAnsi="Arial"/>
          <w:sz w:val="18"/>
          <w:szCs w:val="18"/>
          <w:color w:val="auto"/>
        </w:rPr>
      </w:pPr>
    </w:p>
    <w:p>
      <w:pPr>
        <w:jc w:val="both"/>
        <w:ind w:left="340" w:right="60" w:hanging="224"/>
        <w:spacing w:after="0" w:line="24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Unparalleled partnership. </w:t>
      </w:r>
      <w:r>
        <w:rPr>
          <w:rFonts w:ascii="Arial" w:cs="Arial" w:eastAsia="Arial" w:hAnsi="Arial"/>
          <w:sz w:val="18"/>
          <w:szCs w:val="18"/>
          <w:color w:val="auto"/>
        </w:rPr>
        <w:t>With a fully managed service option, custom integrations, and industry-leading technology, we are dedicated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long-term value to our buyers’ businesses. We have designed our platform to put the best interests of our partners first, fostering a healthy ecosystem within which buyers can transact with confidence.</w:t>
      </w:r>
    </w:p>
    <w:p>
      <w:pPr>
        <w:spacing w:after="0" w:line="74" w:lineRule="exact"/>
        <w:rPr>
          <w:sz w:val="20"/>
          <w:szCs w:val="20"/>
          <w:color w:val="auto"/>
        </w:rPr>
      </w:pPr>
    </w:p>
    <w:p>
      <w:pPr>
        <w:ind w:left="120" w:right="340"/>
        <w:spacing w:after="0"/>
        <w:rPr>
          <w:sz w:val="20"/>
          <w:szCs w:val="20"/>
          <w:color w:val="auto"/>
        </w:rPr>
      </w:pPr>
      <w:r>
        <w:rPr>
          <w:rFonts w:ascii="Arial" w:cs="Arial" w:eastAsia="Arial" w:hAnsi="Arial"/>
          <w:sz w:val="18"/>
          <w:szCs w:val="18"/>
          <w:b w:val="1"/>
          <w:bCs w:val="1"/>
          <w:i w:val="1"/>
          <w:iCs w:val="1"/>
          <w:color w:val="auto"/>
        </w:rPr>
        <w:t>Our Sellers</w:t>
      </w:r>
      <w:r>
        <w:rPr>
          <w:rFonts w:ascii="Arial" w:cs="Arial" w:eastAsia="Arial" w:hAnsi="Arial"/>
          <w:sz w:val="18"/>
          <w:szCs w:val="18"/>
          <w:color w:val="auto"/>
        </w:rPr>
        <w:t>: Our supply partners use our platform to monetize their digital consumer traffic. Our supply partners are primarily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carriers looking to maximize the value of non-converting or low LTV consumers, and insurance-focused research destinations looking to monetize high-intent customers. Repeat sellers continue to be a strong driver of our growth, with 97.9% of our Transaction Value for 2020 driven by repeat sellers from 2019 (with Transaction Value from such repeat sellers increasing 73.2% in 2020). Annual spend per supply partner who contribute over $1 million in Transaction Value annually on our platform has continued to increase from $7.8 million in 2019 to $11.9 million in 2020.</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 proposition for sellers</w:t>
      </w:r>
    </w:p>
    <w:p>
      <w:pPr>
        <w:spacing w:after="0" w:line="117" w:lineRule="exact"/>
        <w:rPr>
          <w:sz w:val="20"/>
          <w:szCs w:val="20"/>
          <w:color w:val="auto"/>
        </w:rPr>
      </w:pPr>
    </w:p>
    <w:p>
      <w:pPr>
        <w:ind w:left="340" w:right="120" w:hanging="224"/>
        <w:spacing w:after="0" w:line="262"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Yield maximization. </w:t>
      </w:r>
      <w:r>
        <w:rPr>
          <w:rFonts w:ascii="Arial" w:cs="Arial" w:eastAsia="Arial" w:hAnsi="Arial"/>
          <w:sz w:val="18"/>
          <w:szCs w:val="18"/>
          <w:color w:val="auto"/>
        </w:rPr>
        <w:t>Our proprietary technology platform provides sellers with a suite of optimization tools, as well as inventory and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features that maximize competition for, and yield from, their high-intent consumers.</w:t>
      </w:r>
    </w:p>
    <w:p>
      <w:pPr>
        <w:spacing w:after="0" w:line="74" w:lineRule="exact"/>
        <w:rPr>
          <w:rFonts w:ascii="Arial" w:cs="Arial" w:eastAsia="Arial" w:hAnsi="Arial"/>
          <w:sz w:val="18"/>
          <w:szCs w:val="18"/>
          <w:color w:val="auto"/>
        </w:rPr>
      </w:pPr>
    </w:p>
    <w:p>
      <w:pPr>
        <w:ind w:left="340" w:right="420" w:hanging="224"/>
        <w:spacing w:after="0" w:line="248"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Predictive analytics. </w:t>
      </w:r>
      <w:r>
        <w:rPr>
          <w:rFonts w:ascii="Arial" w:cs="Arial" w:eastAsia="Arial" w:hAnsi="Arial"/>
          <w:sz w:val="18"/>
          <w:szCs w:val="18"/>
          <w:color w:val="auto"/>
        </w:rPr>
        <w:t>Through our platform’s advanced predictive analytics features, sellers can assess conversion probabilities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customer LTV for every consumer in real time. We believe the integration of these data science models with our sellers’ user experience decision engines is a unique differentiator of our business.</w:t>
      </w:r>
    </w:p>
    <w:p>
      <w:pPr>
        <w:spacing w:after="0" w:line="87" w:lineRule="exact"/>
        <w:rPr>
          <w:rFonts w:ascii="Arial" w:cs="Arial" w:eastAsia="Arial" w:hAnsi="Arial"/>
          <w:sz w:val="18"/>
          <w:szCs w:val="18"/>
          <w:color w:val="auto"/>
        </w:rPr>
      </w:pPr>
    </w:p>
    <w:p>
      <w:pPr>
        <w:ind w:left="340" w:right="180" w:hanging="224"/>
        <w:spacing w:after="0" w:line="248"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Real-time insights. </w:t>
      </w:r>
      <w:r>
        <w:rPr>
          <w:rFonts w:ascii="Arial" w:cs="Arial" w:eastAsia="Arial" w:hAnsi="Arial"/>
          <w:sz w:val="18"/>
          <w:szCs w:val="18"/>
          <w:color w:val="auto"/>
        </w:rPr>
        <w:t>We provide our sellers with unique data as to the type of consumer segments each buyer values. By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in-depth reporting and real-time, granular insights, our sellers have the ability to continuously optimize their own customer acquisition and monetization decisions.</w:t>
      </w:r>
    </w:p>
    <w:p>
      <w:pPr>
        <w:spacing w:after="0" w:line="74"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b w:val="1"/>
          <w:bCs w:val="1"/>
          <w:i w:val="1"/>
          <w:iCs w:val="1"/>
          <w:color w:val="auto"/>
        </w:rPr>
        <w:t>Our End Consumers</w:t>
      </w:r>
      <w:r>
        <w:rPr>
          <w:rFonts w:ascii="Arial" w:cs="Arial" w:eastAsia="Arial" w:hAnsi="Arial"/>
          <w:sz w:val="18"/>
          <w:szCs w:val="18"/>
          <w:color w:val="auto"/>
        </w:rPr>
        <w:t>: Our end consumers are primarily high-intent, online insurance shoppers. Due to the broad participation of top-tier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carriers within our ecosystem, consumers are able to more efficiently navigate a range of options and offers relevant to their policy searches. Through December 31, 2020, an average of 31 million consumers shopped for insurance products monthly through the websites of sellers on our platform and our proprietary websites.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 proposition for end consumers</w:t>
      </w:r>
    </w:p>
    <w:p>
      <w:pPr>
        <w:spacing w:after="0" w:line="117" w:lineRule="exact"/>
        <w:rPr>
          <w:sz w:val="20"/>
          <w:szCs w:val="20"/>
          <w:color w:val="auto"/>
        </w:rPr>
      </w:pPr>
    </w:p>
    <w:p>
      <w:pPr>
        <w:ind w:left="340" w:right="80" w:hanging="224"/>
        <w:spacing w:after="0" w:line="248"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Search relevancy. </w:t>
      </w:r>
      <w:r>
        <w:rPr>
          <w:rFonts w:ascii="Arial" w:cs="Arial" w:eastAsia="Arial" w:hAnsi="Arial"/>
          <w:sz w:val="18"/>
          <w:szCs w:val="18"/>
          <w:color w:val="auto"/>
        </w:rPr>
        <w:t>By enabling insurance carriers and distributors to apply sophisticated targeting, we facilitate the delivery of hyper-relevant product options to our end consumers based on consumer-provided demographics and other relevant characteristics. We believe this improves the overall research and purchase experience and allows our end consumers to make better real-time decisions.</w:t>
      </w:r>
    </w:p>
    <w:p>
      <w:pPr>
        <w:spacing w:after="0" w:line="87" w:lineRule="exact"/>
        <w:rPr>
          <w:rFonts w:ascii="Arial" w:cs="Arial" w:eastAsia="Arial" w:hAnsi="Arial"/>
          <w:sz w:val="18"/>
          <w:szCs w:val="18"/>
          <w:color w:val="auto"/>
        </w:rPr>
      </w:pPr>
    </w:p>
    <w:p>
      <w:pPr>
        <w:ind w:left="340" w:right="100" w:hanging="224"/>
        <w:spacing w:after="0" w:line="248"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Shopping efficiency. </w:t>
      </w:r>
      <w:r>
        <w:rPr>
          <w:rFonts w:ascii="Arial" w:cs="Arial" w:eastAsia="Arial" w:hAnsi="Arial"/>
          <w:sz w:val="18"/>
          <w:szCs w:val="18"/>
          <w:color w:val="auto"/>
        </w:rPr>
        <w:t>We facilitate access to the most relevant products for each respective end consumer, allowing for minimal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maximum efficiency, through an omni-channel, seamless consumer platform experience. We enable consumers to comparison shop and interact with insurance carriers and distributors through multiple mediums, including directly online or offline.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strengths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our competitive advantages are based on the following key strengths:</w:t>
      </w:r>
    </w:p>
    <w:p>
      <w:pPr>
        <w:spacing w:after="0" w:line="97" w:lineRule="exact"/>
        <w:rPr>
          <w:sz w:val="20"/>
          <w:szCs w:val="20"/>
          <w:color w:val="auto"/>
        </w:rPr>
      </w:pPr>
    </w:p>
    <w:p>
      <w:pPr>
        <w:ind w:left="340" w:hanging="224"/>
        <w:spacing w:after="0" w:line="27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scalable, innovative technology platform with rich data. </w:t>
      </w:r>
      <w:r>
        <w:rPr>
          <w:rFonts w:ascii="Arial" w:cs="Arial" w:eastAsia="Arial" w:hAnsi="Arial"/>
          <w:sz w:val="16"/>
          <w:szCs w:val="16"/>
          <w:color w:val="auto"/>
        </w:rPr>
        <w:t>Our proprietary platform is built to be highly extensible and flexible,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enabling us to quickly and efficiently develop custom solutions and tools to address the varying and evolving needs of our partners. Supported by our predictive analytics algorithms, our platform is able to provide continuous, real-time feedback and insights that buyers use to maximize the value of every consumer opportunity. Our deep data integrations allow our buyers to utilize millions of anonymized data points to target and acquire their desired customers with a unique level of precision and control. As of December 31, 2020, there were over 380 insurance supply partners on our platform. We also provide our supply partners with sophisticated, data-driven yield management and monetization capabilities. We believe these capabilities are critical to our partners’ monetization strategies, as they enable optimization of business performance and revenue. Our platform is vertical agnostic, allowing us to expand into new markets with attractive attributes.</w:t>
      </w:r>
    </w:p>
    <w:p>
      <w:pPr>
        <w:spacing w:after="0" w:line="79" w:lineRule="exact"/>
        <w:rPr>
          <w:rFonts w:ascii="Arial" w:cs="Arial" w:eastAsia="Arial" w:hAnsi="Arial"/>
          <w:sz w:val="16"/>
          <w:szCs w:val="16"/>
          <w:color w:val="auto"/>
        </w:rPr>
      </w:pPr>
    </w:p>
    <w:p>
      <w:pPr>
        <w:ind w:left="340" w:right="200"/>
        <w:spacing w:after="0" w:line="239" w:lineRule="auto"/>
        <w:rPr>
          <w:rFonts w:ascii="Arial" w:cs="Arial" w:eastAsia="Arial" w:hAnsi="Arial"/>
          <w:sz w:val="16"/>
          <w:szCs w:val="16"/>
          <w:color w:val="auto"/>
        </w:rPr>
      </w:pPr>
      <w:r>
        <w:rPr>
          <w:rFonts w:ascii="Arial" w:cs="Arial" w:eastAsia="Arial" w:hAnsi="Arial"/>
          <w:sz w:val="18"/>
          <w:szCs w:val="18"/>
          <w:color w:val="auto"/>
        </w:rPr>
        <w:t>The increased participation in our technology-driven platform will continue to generate valuable data, enhance feedback loops, and drive stronger results for all participants in the ecosystem. We believe this creates a flywheel effect as our platform grows.</w:t>
      </w:r>
    </w:p>
    <w:p>
      <w:pPr>
        <w:spacing w:after="0" w:line="94" w:lineRule="exact"/>
        <w:rPr>
          <w:rFonts w:ascii="Arial" w:cs="Arial" w:eastAsia="Arial" w:hAnsi="Arial"/>
          <w:sz w:val="16"/>
          <w:szCs w:val="16"/>
          <w:color w:val="auto"/>
        </w:rPr>
      </w:pPr>
    </w:p>
    <w:p>
      <w:pPr>
        <w:ind w:left="340" w:hanging="224"/>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Superior operating leverage. </w:t>
      </w:r>
      <w:r>
        <w:rPr>
          <w:rFonts w:ascii="Arial" w:cs="Arial" w:eastAsia="Arial" w:hAnsi="Arial"/>
          <w:sz w:val="16"/>
          <w:szCs w:val="16"/>
          <w:color w:val="auto"/>
        </w:rPr>
        <w:t>We designed our business to be highly scalable, driving sustainable long-term growth that delivers superior</w:t>
      </w:r>
    </w:p>
    <w:p>
      <w:pPr>
        <w:spacing w:after="0" w:line="39" w:lineRule="exact"/>
        <w:rPr>
          <w:sz w:val="20"/>
          <w:szCs w:val="20"/>
          <w:color w:val="auto"/>
        </w:rPr>
      </w:pPr>
    </w:p>
    <w:p>
      <w:pPr>
        <w:ind w:left="340" w:right="240"/>
        <w:spacing w:after="0" w:line="192" w:lineRule="auto"/>
        <w:rPr>
          <w:sz w:val="20"/>
          <w:szCs w:val="20"/>
          <w:color w:val="auto"/>
        </w:rPr>
      </w:pPr>
      <w:r>
        <w:rPr>
          <w:rFonts w:ascii="Arial" w:cs="Arial" w:eastAsia="Arial" w:hAnsi="Arial"/>
          <w:sz w:val="11"/>
          <w:szCs w:val="11"/>
          <w:color w:val="auto"/>
        </w:rPr>
        <w:t>value to both demand and supply partners. Our technology enables us to grow in a highly capital efficient manner, with minimal need for working capital or capital expenditure investment. In 2020, we employed 100 individuals on average who drove $815.7 million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right="400"/>
        <w:spacing w:after="0" w:line="239" w:lineRule="auto"/>
        <w:rPr>
          <w:sz w:val="20"/>
          <w:szCs w:val="20"/>
          <w:color w:val="auto"/>
        </w:rPr>
      </w:pPr>
      <w:r>
        <w:rPr>
          <w:rFonts w:ascii="Arial" w:cs="Arial" w:eastAsia="Arial" w:hAnsi="Arial"/>
          <w:sz w:val="18"/>
          <w:szCs w:val="18"/>
          <w:color w:val="auto"/>
        </w:rPr>
        <w:t>Transaction Value ($8.2 million per employee), $ million of net income ($ million per employee), and $ million of Adjusted EBITDA ($ million per employee) for the year, reflecting the high operating leverage of our platform.</w:t>
      </w:r>
    </w:p>
    <w:p>
      <w:pPr>
        <w:spacing w:after="0" w:line="94" w:lineRule="exact"/>
        <w:rPr>
          <w:sz w:val="20"/>
          <w:szCs w:val="20"/>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Sticky, tenured relationships with insurance carriers and distributors. </w:t>
      </w:r>
      <w:r>
        <w:rPr>
          <w:rFonts w:ascii="Arial" w:cs="Arial" w:eastAsia="Arial" w:hAnsi="Arial"/>
          <w:sz w:val="18"/>
          <w:szCs w:val="18"/>
          <w:color w:val="auto"/>
        </w:rPr>
        <w:t>We have developed multi-faceted, deeply-integrated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with insurance carriers and distributors, who are often both buyers and sellers on our platform. We enable insurance carriers and distributors as buyers to optimize customer acquisition spend by offering source-level transparency, granular controls, and predictive tools to drive measurably superior performance. When we work with these same carriers and distributors as sellers, we enable them to use data science to maximize value from consumers by turning high-intent policy shoppers unlikely to convert with that specific carrier or distributor into highly valuable Consumer Referrals for other carriers or distributors.</w:t>
      </w:r>
    </w:p>
    <w:p>
      <w:pPr>
        <w:spacing w:after="0" w:line="101" w:lineRule="exact"/>
        <w:rPr>
          <w:rFonts w:ascii="Arial" w:cs="Arial" w:eastAsia="Arial" w:hAnsi="Arial"/>
          <w:sz w:val="18"/>
          <w:szCs w:val="18"/>
          <w:color w:val="auto"/>
        </w:rPr>
      </w:pPr>
    </w:p>
    <w:p>
      <w:pPr>
        <w:ind w:left="340" w:right="700"/>
        <w:spacing w:after="0" w:line="239" w:lineRule="auto"/>
        <w:rPr>
          <w:rFonts w:ascii="Arial" w:cs="Arial" w:eastAsia="Arial" w:hAnsi="Arial"/>
          <w:sz w:val="18"/>
          <w:szCs w:val="18"/>
          <w:color w:val="auto"/>
        </w:rPr>
      </w:pPr>
      <w:r>
        <w:rPr>
          <w:rFonts w:ascii="Arial" w:cs="Arial" w:eastAsia="Arial" w:hAnsi="Arial"/>
          <w:sz w:val="18"/>
          <w:szCs w:val="18"/>
          <w:color w:val="auto"/>
        </w:rPr>
        <w:t>We believe the versatility and breadth of our offerings, coupled with our focus on high-quality products, provide significant value to insurance carriers and distributors, resulting in strong retention rates. As a</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60"/>
        <w:spacing w:after="0" w:line="239" w:lineRule="auto"/>
        <w:rPr>
          <w:sz w:val="20"/>
          <w:szCs w:val="20"/>
          <w:color w:val="auto"/>
        </w:rPr>
      </w:pPr>
      <w:r>
        <w:rPr>
          <w:rFonts w:ascii="Arial" w:cs="Arial" w:eastAsia="Arial" w:hAnsi="Arial"/>
          <w:sz w:val="18"/>
          <w:szCs w:val="18"/>
          <w:color w:val="auto"/>
        </w:rPr>
        <w:t>result, many insurance carriers and distributors use our platform as their central hub for broadly managing digital customer acquisition and monetization.</w:t>
      </w:r>
    </w:p>
    <w:p>
      <w:pPr>
        <w:spacing w:after="0" w:line="101" w:lineRule="exact"/>
        <w:rPr>
          <w:sz w:val="20"/>
          <w:szCs w:val="20"/>
          <w:color w:val="auto"/>
        </w:rPr>
      </w:pPr>
    </w:p>
    <w:p>
      <w:pPr>
        <w:ind w:left="340" w:right="140"/>
        <w:spacing w:after="0" w:line="237" w:lineRule="auto"/>
        <w:rPr>
          <w:sz w:val="20"/>
          <w:szCs w:val="20"/>
          <w:color w:val="auto"/>
        </w:rPr>
      </w:pPr>
      <w:r>
        <w:rPr>
          <w:rFonts w:ascii="Arial" w:cs="Arial" w:eastAsia="Arial" w:hAnsi="Arial"/>
          <w:sz w:val="18"/>
          <w:szCs w:val="18"/>
          <w:color w:val="auto"/>
        </w:rPr>
        <w:t>Our relationships with our partners are deep, long standing, and involve the top-tier insurance carriers in the industry. In terms of buyers, 15 of the top 20 largest auto insurance carriers by customer acquisition spend are on our platform. In 2020, 96.7% of total Transaction Value executed on our platform came from demand partner relationships from 2019. Approximately half of our supply partners have been on our platform since 2016.</w:t>
      </w:r>
    </w:p>
    <w:p>
      <w:pPr>
        <w:spacing w:after="0" w:line="94" w:lineRule="exact"/>
        <w:rPr>
          <w:sz w:val="20"/>
          <w:szCs w:val="20"/>
          <w:color w:val="auto"/>
        </w:rPr>
      </w:pPr>
    </w:p>
    <w:p>
      <w:pPr>
        <w:ind w:left="340" w:right="140" w:hanging="224"/>
        <w:spacing w:after="0" w:line="27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Culture of transparency, innovation, and execution. </w:t>
      </w:r>
      <w:r>
        <w:rPr>
          <w:rFonts w:ascii="Arial" w:cs="Arial" w:eastAsia="Arial" w:hAnsi="Arial"/>
          <w:sz w:val="16"/>
          <w:szCs w:val="16"/>
          <w:color w:val="auto"/>
        </w:rPr>
        <w:t>Since inception, our co-founders have led with the vision of bringing unparalleled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transparency and efficiency to the online customer acquisition ecosystem, executed through a powerful technology-enabled platform. Transparency is built into our platform and is at the heart of our culture, enabling us to focus on sustainable long-term success over near-term wins. We are relentless about continuous innovation and aim to use our platform to solve big industry-wide problems. We are data-driven and focused on delivering measurable results for our partners. We believe that our long-term vision, dedication to solving systemic problems in the industry, and our relentless drive to improve will continue to empower us to be the platform of choice for our partners.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growth opportunities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grow our business through the following key areas:</w:t>
      </w:r>
    </w:p>
    <w:p>
      <w:pPr>
        <w:spacing w:after="0" w:line="97" w:lineRule="exact"/>
        <w:rPr>
          <w:sz w:val="20"/>
          <w:szCs w:val="20"/>
          <w:color w:val="auto"/>
        </w:rPr>
      </w:pPr>
    </w:p>
    <w:p>
      <w:pPr>
        <w:ind w:left="340" w:hanging="224"/>
        <w:spacing w:after="0" w:line="284"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Transaction Value from our partners. </w:t>
      </w:r>
      <w:r>
        <w:rPr>
          <w:rFonts w:ascii="Arial" w:cs="Arial" w:eastAsia="Arial" w:hAnsi="Arial"/>
          <w:sz w:val="16"/>
          <w:szCs w:val="16"/>
          <w:color w:val="auto"/>
        </w:rPr>
        <w:t>We aim to increase overall Transaction Value from our partners across our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verticals by continuously improving the volume and accuracy of customer conversion data, eliminating friction between consumer handoffs, and developing additional tools and features to increase engagement. We believe that providing our platform participants with better value and a larger selection of high-quality Consumer Referrals over time will lead to increased spending on our platform.</w:t>
      </w:r>
    </w:p>
    <w:p>
      <w:pPr>
        <w:spacing w:after="0" w:line="60" w:lineRule="exact"/>
        <w:rPr>
          <w:rFonts w:ascii="Arial" w:cs="Arial" w:eastAsia="Arial" w:hAnsi="Arial"/>
          <w:sz w:val="16"/>
          <w:szCs w:val="16"/>
          <w:color w:val="auto"/>
        </w:rPr>
      </w:pPr>
    </w:p>
    <w:p>
      <w:pPr>
        <w:ind w:left="340" w:right="80" w:hanging="224"/>
        <w:spacing w:after="0" w:line="24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ecosystem efficiency. </w:t>
      </w:r>
      <w:r>
        <w:rPr>
          <w:rFonts w:ascii="Arial" w:cs="Arial" w:eastAsia="Arial" w:hAnsi="Arial"/>
          <w:sz w:val="18"/>
          <w:szCs w:val="18"/>
          <w:color w:val="auto"/>
        </w:rPr>
        <w:t>We believe that traditional customer acquisition models are highly inefficient, charging platform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inflated prices while lacking the transparency and granularity to allow participants to reach end consumers effectively. We were founded to disrupt and address these systemic inefficiencies and will continue to do so by enhancing automated buying strategies and granular price discovery processes. We will continue to expand our platform and drive value for all participants within the ecosystem by increasing the data integration with our partners into our platform.</w:t>
      </w:r>
    </w:p>
    <w:p>
      <w:pPr>
        <w:spacing w:after="0" w:line="94" w:lineRule="exact"/>
        <w:rPr>
          <w:rFonts w:ascii="Arial" w:cs="Arial" w:eastAsia="Arial" w:hAnsi="Arial"/>
          <w:sz w:val="18"/>
          <w:szCs w:val="18"/>
          <w:color w:val="auto"/>
        </w:rPr>
      </w:pPr>
    </w:p>
    <w:p>
      <w:pPr>
        <w:ind w:left="340" w:right="500" w:hanging="224"/>
        <w:spacing w:after="0" w:line="325"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Bring new partners to our platform. </w:t>
      </w:r>
      <w:r>
        <w:rPr>
          <w:rFonts w:ascii="Arial" w:cs="Arial" w:eastAsia="Arial" w:hAnsi="Arial"/>
          <w:sz w:val="16"/>
          <w:szCs w:val="16"/>
          <w:color w:val="auto"/>
        </w:rPr>
        <w:t>There are potential buyers and sellers who are not yet using our platform. We intend to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our platform with new insurance partners through business development, word-of-mouth referrals, and inbound inquiries.</w:t>
      </w:r>
    </w:p>
    <w:p>
      <w:pPr>
        <w:spacing w:after="0" w:line="28" w:lineRule="exact"/>
        <w:rPr>
          <w:rFonts w:ascii="Arial" w:cs="Arial" w:eastAsia="Arial" w:hAnsi="Arial"/>
          <w:sz w:val="16"/>
          <w:szCs w:val="16"/>
          <w:color w:val="auto"/>
        </w:rPr>
      </w:pPr>
    </w:p>
    <w:p>
      <w:pPr>
        <w:ind w:left="340" w:right="80" w:hanging="224"/>
        <w:spacing w:after="0" w:line="294"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product offerings. </w:t>
      </w:r>
      <w:r>
        <w:rPr>
          <w:rFonts w:ascii="Arial" w:cs="Arial" w:eastAsia="Arial" w:hAnsi="Arial"/>
          <w:sz w:val="16"/>
          <w:szCs w:val="16"/>
          <w:color w:val="auto"/>
        </w:rPr>
        <w:t>We are constantly exploring new ways to deliver value to our partners through development of new tools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services and improvement of our conversion analytics model. We believe that providing further customized solutions and higher touch services for our partners will enhance the stickiness of our offerings and drive more customer acquisition spend and users to our platform.</w:t>
      </w:r>
    </w:p>
    <w:p>
      <w:pPr>
        <w:spacing w:after="0" w:line="52" w:lineRule="exact"/>
        <w:rPr>
          <w:rFonts w:ascii="Arial" w:cs="Arial" w:eastAsia="Arial" w:hAnsi="Arial"/>
          <w:sz w:val="16"/>
          <w:szCs w:val="16"/>
          <w:color w:val="auto"/>
        </w:rPr>
      </w:pPr>
    </w:p>
    <w:p>
      <w:pPr>
        <w:ind w:left="340" w:hanging="224"/>
        <w:spacing w:after="0" w:line="24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our relationships with agents. </w:t>
      </w:r>
      <w:r>
        <w:rPr>
          <w:rFonts w:ascii="Arial" w:cs="Arial" w:eastAsia="Arial" w:hAnsi="Arial"/>
          <w:sz w:val="18"/>
          <w:szCs w:val="18"/>
          <w:color w:val="auto"/>
        </w:rPr>
        <w:t>We intend to strategically expand our insurance agency relationships to capture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acquisition spend within our core insurance verticals. We have a dedicated team working to incorporate agents into our digital platform and help them expand their customer acquisition capabilities. We generated over 79 million Consumer Referrals in the year ended December 31, 2020, equipping us with valuable conversion insights to help us optimize consumer routing to agents based on their desired goals. This dedicated team will continue to enhance our agency capabilities.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jc w:val="both"/>
        <w:ind w:left="340" w:hanging="224"/>
        <w:spacing w:after="0" w:line="241"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into and scale new verticals. </w:t>
      </w:r>
      <w:r>
        <w:rPr>
          <w:rFonts w:ascii="Arial" w:cs="Arial" w:eastAsia="Arial" w:hAnsi="Arial"/>
          <w:sz w:val="18"/>
          <w:szCs w:val="18"/>
          <w:color w:val="auto"/>
        </w:rPr>
        <w:t>While we have primarily focused our efforts on growing our core insurance verticals,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 expansion opportunities in markets that share similar characteristics. For example, we entered the health insurance and life insurance markets in 2014, and were able to scale to $217.7 million in Transaction Value for the year ended December 31, 2020, representing 38.5% year over year growth. We believe our vertical-agnostic platform and established playbook for entering new markets will allow us to capture attractive market opportunities effectively.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competition</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operate in the broadly defined tech-enabled insurance distribution sector. We are part of a sector that is disrupting the conventional agent-based insurance distribution channels. This sector is comprised of companies engaged in varied aspects of customer acquisition. On one end of the spectrum, there are companies that are engaged in simple Consumer Referrals acquisition. These Consumer Referrals are delivered to the insurance carriers or distributors. On the other end of the spectrum, there are companies that acquire the customer through digital channels and take them through the entire needs-based assessment and policy application and submission process.</w:t>
      </w:r>
    </w:p>
    <w:p>
      <w:pPr>
        <w:spacing w:after="0" w:line="10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Within this sector, our closest competitors are technology companies engaged in digital customer acquisition. Traditional digital consumer acquisition models focus on serving buyers of Consumer Referrals by acquiring consumers on behalf of insurance carriers from paid search, proprietary websites or other digital avenues. Our model is different. We operate a transparent, results-driven platform where sophisticated demand and supply partners transact on high-quality Consumer Referrals. We compete on the basis of a number of factors, including return on investment, technology, and client service.</w:t>
      </w:r>
    </w:p>
    <w:p>
      <w:pPr>
        <w:spacing w:after="0" w:line="103"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Our platform also offers DTC digital spend optimization capabilities that compete primarily with home grown systems that buyers use to aggregate multiple sources of digital customer acquisition. As the number of digital consumer acquisition sources grows, the complexity and cost of managing those sources continues to increase. As a result, we are seeing significant increases in the frequency and customer acquisition spend of participants on our platform, further enhancing our scale and return on investment to all our partners. We have deep integrations with our partners that cost time and money. We believe our growing scale makes it hard for new entrants to gain direct access to buyers and sellers and replicate what we have built over the years.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protection of our technology, intellectual property and proprietary rights is an important aspect of our business. We rely on a combination of trade secret, trademark and copyright laws, confidentiality agreements, and technical measures to establish, maintain and protect our intellectual property rights and technology. Additionally, we enter into confidentiality and invention assignment agreements with our employees and enter into confidentiality agreements with third parties, including our buyers and sellers. However, our contractual provisions may not always be effective at preventing unauthorized parties from obtaining our intellectual property and proprietary technologies. Intellectual property laws, procedures, and restrictions provide only limited protection and any of our intellectual property or proprietary rights may be challenged, invalidated, circumvented, infringed, misappropriated or otherwise violated. Further, the laws of certain countries do not protect intellectual property or proprietary rights to the same extent as the laws of the U.S., and, therefore, in certain jurisdictions, we may be unable to protect our proprietary technology.</w:t>
      </w:r>
    </w:p>
    <w:p>
      <w:pPr>
        <w:spacing w:after="0" w:line="106"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Our in-house know-how is an important element of our intellectual property. The development and management of our platform requires sophisticated coordination among many specialized employees. We believe that duplication of this coordination by competitors or individuals seeking to copy our platform would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be difficult. The risk of a competitor effectively replicating the functionality of our platform is further mitigated by the fact that our service offerings are cloud-based such that most of the core technology operating on our systems is never exposed to a user or to our competitors. To protect our technology, we implement multiple layers of security. Access to our platform, other than to obtain basic information, requires system usernames and passwords. We also add additional layers of security such as dual-factor authentication, encryption in transit and intrusion detection.</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“Risk factors—Risks related to our intellectual property rights and our technology.”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Regulation</w:t>
      </w:r>
    </w:p>
    <w:p>
      <w:pPr>
        <w:spacing w:after="0" w:line="13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U.S. federal, state and foreign laws and regulations. We are subject to laws and regulations that apply to businesses in general, such as those relating to worker classification, employment, payments, worker confidentiality obligations, consumer protection and taxation. As an online business, we are also subject to laws and regulations governing the internet, such as those relating to intellectual property ownership and infringement, trade secrets, the distribution of electronic communications, search engines and internet tracking technologies, and could be affected by potential changes to laws and regulations that affect the growth, popularity or use of the internet, including with respect to net neutrality and taxation on the use of the internet or e-commerce transactions.</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Because we collect, process, store, share, disclose, transfer and use consumer information and other data and engage in marketing and advertising activities via the phone, email and text messages, we are also subject to laws and regulations that address privacy, data protection and collection, storing, sharing, use, disclosure, retention, security, protection transfer and other processing of personal information and other data, including the California Online Privacy Protection Act, the CCPA, the Personal Information Protection and Electronic Documents Act, the CAN-SPAM Act, CASL, the TCPA, HIPPA, Section 5(c) of the Federal Trade Commission Act, the GDPR, supplemented by national laws (such as, in the United Kingdom, the Data Protection Act 2018) and further implemented through binding guidance from the European Data Protection Board, the EU’s e-Privacy Directive, which is expected to be replaced by the EU’s e-Privacy Regulation, which is still under development and will replace current national laws that implement the ePrivacy Directive. The burdens imposed by these and other laws and regulations that may be enacted, or new interpretation of existing laws and regulations, may require us to modify our data processing practices and policies and to incur substantial costs in order to comply. We take a variety of technical and organizational security measures and other measures to protect our data, including data pertaining to our end consumers, employees and business partners. Despite measures we put in place, we may be unable to anticipate or prevent unauthorized access to such data.</w:t>
      </w:r>
    </w:p>
    <w:p>
      <w:pPr>
        <w:spacing w:after="0" w:line="106"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A substantial majority of the insurance carriers using our platform are property &amp; casualty insurance carriers, health insurance carriers or life insurance carriers. As a result, we are indirectly affected by laws and regulations relating to the insurance and healthcare industries, both of which are heavily regulated. For example, the PPACA and related regulatory reforms have materially changed the regulation of health insurance. While it is difficult to determine the impact of potential reforms on our future business, it is possible that such changes in industry regulation could affect demand for our platform.</w:t>
      </w:r>
    </w:p>
    <w:p>
      <w:pPr>
        <w:spacing w:after="0" w:line="10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Because the laws and regulations governing the internet, privacy, data security, marketing, insurance and healthcare are constantly evolving and striving to keep pace with innovations in technology and media, it is possible that we may need to materially alter the way we conduct some parts of our business activities or be prohibited from conducting such activities altogether at some point in the future. See “Risk factors —Risks related to laws and regulation.”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committed to attracting and retaining the brightest and best talent, so investing in human capital is critical to our success. The employee traits we value include hands-on work no matter what the experience level, intellectual curiosity, open-mindedness, growth mindset, and deeply caring about the quality of work. As of December 31, 2020, we had 117 full-time employees. The human capital measures and objectives that we focus on in managing our business include employee safety, talent acquisition and retention, employee engagement, development and training, diversity and inclusion, and compensation and pay equity. None of our employees are represented by a collective bargaining unit or are a party to a collective bargaining agreement.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Engagement and Development</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employee engagement efforts include our frequent and transparent “all-hands” meetings and executive communications, through which we aim to keep our employees well-informed and to increase transparency. We believe in continual improvement and use employee feedback to drive and improve processes that support our customers and ensure a deep understanding of our employees’ needs. We conduct annual confidential employee surveys and believe that ongoing performance feedback encourages greater engagement in our business and improves individual performance. Each quarter, our employees participate in a 360-degree evaluation process to identify critical capabilities for development and establish new stretch goals.</w:t>
      </w:r>
    </w:p>
    <w:p>
      <w:pPr>
        <w:spacing w:after="0" w:line="10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seek to achieve our business objectives through a deep commitment to talent development. Our talent development efforts include quarterly goals, weekly “lunch and learn,” individualized professional development plans, management training, internal workshops, quarterly guest speakers, and quarterly book clubs related to enhancing business skills.</w:t>
      </w:r>
    </w:p>
    <w:p>
      <w:pPr>
        <w:spacing w:after="0" w:line="100" w:lineRule="exact"/>
        <w:rPr>
          <w:sz w:val="20"/>
          <w:szCs w:val="20"/>
          <w:color w:val="auto"/>
        </w:rPr>
      </w:pPr>
    </w:p>
    <w:p>
      <w:pPr>
        <w:jc w:val="both"/>
        <w:ind w:left="120" w:right="520"/>
        <w:spacing w:after="0" w:line="238" w:lineRule="auto"/>
        <w:rPr>
          <w:sz w:val="20"/>
          <w:szCs w:val="20"/>
          <w:color w:val="auto"/>
        </w:rPr>
      </w:pPr>
      <w:r>
        <w:rPr>
          <w:rFonts w:ascii="Arial" w:cs="Arial" w:eastAsia="Arial" w:hAnsi="Arial"/>
          <w:sz w:val="18"/>
          <w:szCs w:val="18"/>
          <w:color w:val="auto"/>
        </w:rPr>
        <w:t>Objectives and Key Results are used to drive our business strategy. All our teams participate in an annual strategic planning process to identify objectives for business growth and innovation. Our teams and employees set goals quarterly to achieve the Company’s annual objectives.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 Equity</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employee compensation strategy supports three primary objectives: attract and retain the best team members, reflect and reinforce our most important values, and align team member interests with shareholder interests in building enduring value. We believe people should be paid for what they do and how they do it, regardless of their gender, race, or other personal characteristics. To deliver on that commitment, we benchmark and set pay ranges based on market data and consider factors such as an employee’s role and experience, the location of their job, and their performance. We also regularly review our compensation practices, both in terms of our overall workforce and individual employees, to ensure our pay is fair and equitable.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and Employee Safety</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During the COVID-19 pandemic, our primary focus has been on the safety and well-being of our employees and their families. Our pandemic efforts include leveraging the advice and recommendations of infectious disease experts to establish proper safety standards and secure appropriate levels of personal protective equipment. Our offices continue to be closed due to the pandemic. As our employees continue to work remotely, we offer benefits such as internet reimbursement, office supply purchasing, flexible work schedules, and access to other tools to ease the stress of working from home.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Facilities</w:t>
      </w:r>
    </w:p>
    <w:p>
      <w:pPr>
        <w:spacing w:after="0" w:line="12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Our principal executive office is located in Los Angeles, California. In addition to our Los Angeles office, we operate from two other offices located in Redmond, Washington and Tampa, Florida. We lease each of our offices. We believe that our current facilities are adequate to meet our immediate needs.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We are not presently party to any legal proceedings the resolution of which we believe would have a material adverse effect on our business, prospects, financial condition, liquidity, results of operation, cash flows or capital levels.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9"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as of the date hereof regarding individuals who serve as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Age</w:t>
            </w:r>
          </w:p>
        </w:tc>
        <w:tc>
          <w:tcPr>
            <w:tcW w:w="7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302"/>
        </w:trPr>
        <w:tc>
          <w:tcPr>
            <w:tcW w:w="2160" w:type="dxa"/>
            <w:vAlign w:val="bottom"/>
          </w:tcPr>
          <w:p>
            <w:pPr>
              <w:spacing w:after="0"/>
              <w:rPr>
                <w:sz w:val="20"/>
                <w:szCs w:val="20"/>
                <w:color w:val="auto"/>
              </w:rPr>
            </w:pPr>
            <w:r>
              <w:rPr>
                <w:rFonts w:ascii="Arial" w:cs="Arial" w:eastAsia="Arial" w:hAnsi="Arial"/>
                <w:sz w:val="18"/>
                <w:szCs w:val="18"/>
                <w:color w:val="auto"/>
              </w:rPr>
              <w:t>Steven Yi</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7400" w:type="dxa"/>
            <w:vAlign w:val="bottom"/>
          </w:tcPr>
          <w:p>
            <w:pPr>
              <w:ind w:left="240"/>
              <w:spacing w:after="0"/>
              <w:rPr>
                <w:sz w:val="20"/>
                <w:szCs w:val="20"/>
                <w:color w:val="auto"/>
              </w:rPr>
            </w:pPr>
            <w:r>
              <w:rPr>
                <w:rFonts w:ascii="Arial" w:cs="Arial" w:eastAsia="Arial" w:hAnsi="Arial"/>
                <w:sz w:val="18"/>
                <w:szCs w:val="18"/>
                <w:color w:val="auto"/>
              </w:rPr>
              <w:t>Chief Executive Officer, President, and Co-Founder</w:t>
            </w:r>
          </w:p>
        </w:tc>
      </w:tr>
      <w:tr>
        <w:trPr>
          <w:trHeight w:val="310"/>
        </w:trPr>
        <w:tc>
          <w:tcPr>
            <w:tcW w:w="2160" w:type="dxa"/>
            <w:vAlign w:val="bottom"/>
          </w:tcPr>
          <w:p>
            <w:pPr>
              <w:spacing w:after="0"/>
              <w:rPr>
                <w:sz w:val="20"/>
                <w:szCs w:val="20"/>
                <w:color w:val="auto"/>
              </w:rPr>
            </w:pPr>
            <w:r>
              <w:rPr>
                <w:rFonts w:ascii="Arial" w:cs="Arial" w:eastAsia="Arial" w:hAnsi="Arial"/>
                <w:sz w:val="18"/>
                <w:szCs w:val="18"/>
                <w:color w:val="auto"/>
              </w:rPr>
              <w:t>Eugene Nonko</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7400" w:type="dxa"/>
            <w:vAlign w:val="bottom"/>
          </w:tcPr>
          <w:p>
            <w:pPr>
              <w:ind w:left="240"/>
              <w:spacing w:after="0"/>
              <w:rPr>
                <w:sz w:val="20"/>
                <w:szCs w:val="20"/>
                <w:color w:val="auto"/>
              </w:rPr>
            </w:pPr>
            <w:r>
              <w:rPr>
                <w:rFonts w:ascii="Arial" w:cs="Arial" w:eastAsia="Arial" w:hAnsi="Arial"/>
                <w:sz w:val="18"/>
                <w:szCs w:val="18"/>
                <w:color w:val="auto"/>
              </w:rPr>
              <w:t>Chief Technology Officer and Co-Founder</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Ambrose Wang</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7400" w:type="dxa"/>
            <w:vAlign w:val="bottom"/>
          </w:tcPr>
          <w:p>
            <w:pPr>
              <w:ind w:left="240"/>
              <w:spacing w:after="0"/>
              <w:rPr>
                <w:sz w:val="20"/>
                <w:szCs w:val="20"/>
                <w:color w:val="auto"/>
              </w:rPr>
            </w:pPr>
            <w:r>
              <w:rPr>
                <w:rFonts w:ascii="Arial" w:cs="Arial" w:eastAsia="Arial" w:hAnsi="Arial"/>
                <w:sz w:val="18"/>
                <w:szCs w:val="18"/>
                <w:color w:val="auto"/>
              </w:rPr>
              <w:t>Co-Founder</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Tigran Sinanyan</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7400" w:type="dxa"/>
            <w:vAlign w:val="bottom"/>
          </w:tcPr>
          <w:p>
            <w:pPr>
              <w:ind w:left="240"/>
              <w:spacing w:after="0"/>
              <w:rPr>
                <w:sz w:val="20"/>
                <w:szCs w:val="20"/>
                <w:color w:val="auto"/>
              </w:rPr>
            </w:pPr>
            <w:r>
              <w:rPr>
                <w:rFonts w:ascii="Arial" w:cs="Arial" w:eastAsia="Arial" w:hAnsi="Arial"/>
                <w:sz w:val="18"/>
                <w:szCs w:val="18"/>
                <w:color w:val="auto"/>
              </w:rPr>
              <w:t>Chief Financial Officer and Treasurer</w:t>
            </w:r>
          </w:p>
        </w:tc>
      </w:tr>
      <w:tr>
        <w:trPr>
          <w:trHeight w:val="310"/>
        </w:trPr>
        <w:tc>
          <w:tcPr>
            <w:tcW w:w="2160" w:type="dxa"/>
            <w:vAlign w:val="bottom"/>
          </w:tcPr>
          <w:p>
            <w:pPr>
              <w:spacing w:after="0"/>
              <w:rPr>
                <w:sz w:val="20"/>
                <w:szCs w:val="20"/>
                <w:color w:val="auto"/>
              </w:rPr>
            </w:pPr>
            <w:r>
              <w:rPr>
                <w:rFonts w:ascii="Arial" w:cs="Arial" w:eastAsia="Arial" w:hAnsi="Arial"/>
                <w:sz w:val="18"/>
                <w:szCs w:val="18"/>
                <w:color w:val="auto"/>
              </w:rPr>
              <w:t>Keith Cramer</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7400" w:type="dxa"/>
            <w:vAlign w:val="bottom"/>
          </w:tcPr>
          <w:p>
            <w:pPr>
              <w:ind w:left="240"/>
              <w:spacing w:after="0"/>
              <w:rPr>
                <w:sz w:val="20"/>
                <w:szCs w:val="20"/>
                <w:color w:val="auto"/>
              </w:rPr>
            </w:pPr>
            <w:r>
              <w:rPr>
                <w:rFonts w:ascii="Arial" w:cs="Arial" w:eastAsia="Arial" w:hAnsi="Arial"/>
                <w:sz w:val="18"/>
                <w:szCs w:val="18"/>
                <w:color w:val="auto"/>
              </w:rPr>
              <w:t>Senior Vice President, Supply Partnerships</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Amy Yeh</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7400" w:type="dxa"/>
            <w:vAlign w:val="bottom"/>
          </w:tcPr>
          <w:p>
            <w:pPr>
              <w:ind w:left="240"/>
              <w:spacing w:after="0"/>
              <w:rPr>
                <w:sz w:val="20"/>
                <w:szCs w:val="20"/>
                <w:color w:val="auto"/>
              </w:rPr>
            </w:pPr>
            <w:r>
              <w:rPr>
                <w:rFonts w:ascii="Arial" w:cs="Arial" w:eastAsia="Arial" w:hAnsi="Arial"/>
                <w:sz w:val="18"/>
                <w:szCs w:val="18"/>
                <w:color w:val="auto"/>
              </w:rPr>
              <w:t>Senior Vice President, Technology</w:t>
            </w:r>
          </w:p>
        </w:tc>
      </w:tr>
      <w:tr>
        <w:trPr>
          <w:trHeight w:val="310"/>
        </w:trPr>
        <w:tc>
          <w:tcPr>
            <w:tcW w:w="2160" w:type="dxa"/>
            <w:vAlign w:val="bottom"/>
          </w:tcPr>
          <w:p>
            <w:pPr>
              <w:spacing w:after="0"/>
              <w:rPr>
                <w:sz w:val="20"/>
                <w:szCs w:val="20"/>
                <w:color w:val="auto"/>
              </w:rPr>
            </w:pPr>
            <w:r>
              <w:rPr>
                <w:rFonts w:ascii="Arial" w:cs="Arial" w:eastAsia="Arial" w:hAnsi="Arial"/>
                <w:sz w:val="18"/>
                <w:szCs w:val="18"/>
                <w:color w:val="auto"/>
              </w:rPr>
              <w:t>Brian Mikalis</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46</w:t>
            </w:r>
          </w:p>
        </w:tc>
        <w:tc>
          <w:tcPr>
            <w:tcW w:w="7400" w:type="dxa"/>
            <w:vAlign w:val="bottom"/>
          </w:tcPr>
          <w:p>
            <w:pPr>
              <w:ind w:left="240"/>
              <w:spacing w:after="0"/>
              <w:rPr>
                <w:sz w:val="20"/>
                <w:szCs w:val="20"/>
                <w:color w:val="auto"/>
              </w:rPr>
            </w:pPr>
            <w:r>
              <w:rPr>
                <w:rFonts w:ascii="Arial" w:cs="Arial" w:eastAsia="Arial" w:hAnsi="Arial"/>
                <w:sz w:val="18"/>
                <w:szCs w:val="18"/>
                <w:color w:val="auto"/>
              </w:rPr>
              <w:t>Senior Vice President, Demand Partnerships</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Robert Perine</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7400" w:type="dxa"/>
            <w:vAlign w:val="bottom"/>
          </w:tcPr>
          <w:p>
            <w:pPr>
              <w:ind w:left="240"/>
              <w:spacing w:after="0"/>
              <w:rPr>
                <w:sz w:val="20"/>
                <w:szCs w:val="20"/>
                <w:color w:val="auto"/>
              </w:rPr>
            </w:pPr>
            <w:r>
              <w:rPr>
                <w:rFonts w:ascii="Arial" w:cs="Arial" w:eastAsia="Arial" w:hAnsi="Arial"/>
                <w:sz w:val="18"/>
                <w:szCs w:val="18"/>
                <w:color w:val="auto"/>
              </w:rPr>
              <w:t>Vice President, Product</w:t>
            </w:r>
          </w:p>
        </w:tc>
      </w:tr>
      <w:tr>
        <w:trPr>
          <w:trHeight w:val="310"/>
        </w:trPr>
        <w:tc>
          <w:tcPr>
            <w:tcW w:w="2160" w:type="dxa"/>
            <w:vAlign w:val="bottom"/>
          </w:tcPr>
          <w:p>
            <w:pPr>
              <w:spacing w:after="0"/>
              <w:rPr>
                <w:sz w:val="20"/>
                <w:szCs w:val="20"/>
                <w:color w:val="auto"/>
              </w:rPr>
            </w:pPr>
            <w:r>
              <w:rPr>
                <w:rFonts w:ascii="Arial" w:cs="Arial" w:eastAsia="Arial" w:hAnsi="Arial"/>
                <w:sz w:val="18"/>
                <w:szCs w:val="18"/>
                <w:color w:val="auto"/>
              </w:rPr>
              <w:t>Serge Topjian</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7400" w:type="dxa"/>
            <w:vAlign w:val="bottom"/>
          </w:tcPr>
          <w:p>
            <w:pPr>
              <w:ind w:left="240"/>
              <w:spacing w:after="0"/>
              <w:rPr>
                <w:sz w:val="20"/>
                <w:szCs w:val="20"/>
                <w:color w:val="auto"/>
              </w:rPr>
            </w:pPr>
            <w:r>
              <w:rPr>
                <w:rFonts w:ascii="Arial" w:cs="Arial" w:eastAsia="Arial" w:hAnsi="Arial"/>
                <w:sz w:val="18"/>
                <w:szCs w:val="18"/>
                <w:color w:val="auto"/>
              </w:rPr>
              <w:t>Vice President, Media Buying</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Jeff Sweetser</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7400" w:type="dxa"/>
            <w:vAlign w:val="bottom"/>
          </w:tcPr>
          <w:p>
            <w:pPr>
              <w:ind w:left="240"/>
              <w:spacing w:after="0"/>
              <w:rPr>
                <w:sz w:val="20"/>
                <w:szCs w:val="20"/>
                <w:color w:val="auto"/>
              </w:rPr>
            </w:pPr>
            <w:r>
              <w:rPr>
                <w:rFonts w:ascii="Arial" w:cs="Arial" w:eastAsia="Arial" w:hAnsi="Arial"/>
                <w:sz w:val="18"/>
                <w:szCs w:val="18"/>
                <w:color w:val="auto"/>
              </w:rPr>
              <w:t>Vice President, Supply Partnerships</w:t>
            </w:r>
          </w:p>
        </w:tc>
      </w:tr>
      <w:tr>
        <w:trPr>
          <w:trHeight w:val="312"/>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Lance Martinez</w:t>
            </w:r>
          </w:p>
        </w:tc>
        <w:tc>
          <w:tcPr>
            <w:tcW w:w="1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49</w:t>
            </w:r>
          </w:p>
        </w:tc>
        <w:tc>
          <w:tcPr>
            <w:tcW w:w="7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General Counsel and Secretary</w:t>
            </w:r>
          </w:p>
        </w:tc>
      </w:tr>
    </w:tbl>
    <w:p>
      <w:pPr>
        <w:spacing w:after="0" w:line="89"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b w:val="1"/>
          <w:bCs w:val="1"/>
          <w:color w:val="auto"/>
        </w:rPr>
        <w:t>Steven Yi</w:t>
      </w:r>
      <w:r>
        <w:rPr>
          <w:rFonts w:ascii="Arial" w:cs="Arial" w:eastAsia="Arial" w:hAnsi="Arial"/>
          <w:sz w:val="18"/>
          <w:szCs w:val="18"/>
          <w:color w:val="auto"/>
        </w:rPr>
        <w:t>, 50, has served as the Chief Executive Officer of the Company since June 2011. Prior to joining the Company, Mr. Yi co-founded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served as the Chief Executive Officer of Fareloop LLC, a travel comparison website, from 2009 to 2011, and served as Senior Vice President and General Manager, Marketing Services, at Oversee.net, a technology-driven media company that owned and operated a portfolio of consumer and business-to-business properties, from 2007 to 2009. Mr. Yi received his undergraduate degree in East Asian Studies from Harvard University and his J.D. from Harvard Law School.</w:t>
      </w:r>
    </w:p>
    <w:p>
      <w:pPr>
        <w:spacing w:after="0" w:line="77"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b w:val="1"/>
          <w:bCs w:val="1"/>
          <w:color w:val="auto"/>
        </w:rPr>
        <w:t>Eugene Nonko</w:t>
      </w:r>
      <w:r>
        <w:rPr>
          <w:rFonts w:ascii="Arial" w:cs="Arial" w:eastAsia="Arial" w:hAnsi="Arial"/>
          <w:sz w:val="18"/>
          <w:szCs w:val="18"/>
          <w:color w:val="auto"/>
        </w:rPr>
        <w:t>, 40, has served as the Chief Technology Officer of the Company since June 2011. Prior to joining the Company, Mr. Nonko</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 President, Research and Development at Oversee.net, a technology-driven media company that owned and operated a portfolio of consumer and business-to-business properties, from 2004 to 2010, and served as a Software Engineer at Microsoft, a leading multinational technology company, from 2001 to 2004. Mr. Nonko received his B.S. and M.S. in Information Technology and Economics from Altai State Technical University.</w:t>
      </w:r>
    </w:p>
    <w:p>
      <w:pPr>
        <w:spacing w:after="0" w:line="77" w:lineRule="exact"/>
        <w:rPr>
          <w:sz w:val="20"/>
          <w:szCs w:val="20"/>
          <w:color w:val="auto"/>
        </w:rPr>
      </w:pPr>
    </w:p>
    <w:p>
      <w:pPr>
        <w:jc w:val="both"/>
        <w:ind w:left="120" w:right="520"/>
        <w:spacing w:after="0" w:line="242" w:lineRule="auto"/>
        <w:rPr>
          <w:sz w:val="20"/>
          <w:szCs w:val="20"/>
          <w:color w:val="auto"/>
        </w:rPr>
      </w:pPr>
      <w:r>
        <w:rPr>
          <w:rFonts w:ascii="Arial" w:cs="Arial" w:eastAsia="Arial" w:hAnsi="Arial"/>
          <w:sz w:val="18"/>
          <w:szCs w:val="18"/>
          <w:b w:val="1"/>
          <w:bCs w:val="1"/>
          <w:color w:val="auto"/>
        </w:rPr>
        <w:t>Ambrose Wang</w:t>
      </w:r>
      <w:r>
        <w:rPr>
          <w:rFonts w:ascii="Arial" w:cs="Arial" w:eastAsia="Arial" w:hAnsi="Arial"/>
          <w:sz w:val="18"/>
          <w:szCs w:val="18"/>
          <w:color w:val="auto"/>
        </w:rPr>
        <w:t>, 42, has served as Co-Founder of the Company since June 2011. Prior to joining the Company, Mr. Wang co-founded</w:t>
      </w:r>
      <w:r>
        <w:rPr>
          <w:rFonts w:ascii="Arial" w:cs="Arial" w:eastAsia="Arial" w:hAnsi="Arial"/>
          <w:sz w:val="18"/>
          <w:szCs w:val="18"/>
          <w:b w:val="1"/>
          <w:bCs w:val="1"/>
          <w:color w:val="auto"/>
        </w:rPr>
        <w:t xml:space="preserve"> </w:t>
      </w:r>
      <w:r>
        <w:rPr>
          <w:rFonts w:ascii="Arial" w:cs="Arial" w:eastAsia="Arial" w:hAnsi="Arial"/>
          <w:sz w:val="18"/>
          <w:szCs w:val="18"/>
          <w:color w:val="auto"/>
        </w:rPr>
        <w:t>Fareloop, LLC, a travel comparison website, from 2009 to 2011, and served as Executive Producer at Oversee.net, a technology-driven media company that owned and operated a portfolio of consumer and business-to-business properties, from 2006 to 2009. Prior to that, Mr. Wang founded Imigis Consulting, an online marketing services company, from 2001 to 2006. Mr. Wang received his undergraduate degree in Computing from Oxford University.</w:t>
      </w:r>
    </w:p>
    <w:p>
      <w:pPr>
        <w:spacing w:after="0" w:line="77" w:lineRule="exact"/>
        <w:rPr>
          <w:sz w:val="20"/>
          <w:szCs w:val="20"/>
          <w:color w:val="auto"/>
        </w:rPr>
      </w:pPr>
    </w:p>
    <w:p>
      <w:pPr>
        <w:ind w:left="120" w:right="120"/>
        <w:spacing w:after="0" w:line="249" w:lineRule="auto"/>
        <w:rPr>
          <w:sz w:val="20"/>
          <w:szCs w:val="20"/>
          <w:color w:val="auto"/>
        </w:rPr>
      </w:pPr>
      <w:r>
        <w:rPr>
          <w:rFonts w:ascii="Arial" w:cs="Arial" w:eastAsia="Arial" w:hAnsi="Arial"/>
          <w:sz w:val="18"/>
          <w:szCs w:val="18"/>
          <w:b w:val="1"/>
          <w:bCs w:val="1"/>
          <w:color w:val="auto"/>
        </w:rPr>
        <w:t>Tigran Sinanyan</w:t>
      </w:r>
      <w:r>
        <w:rPr>
          <w:rFonts w:ascii="Arial" w:cs="Arial" w:eastAsia="Arial" w:hAnsi="Arial"/>
          <w:sz w:val="18"/>
          <w:szCs w:val="18"/>
          <w:color w:val="auto"/>
        </w:rPr>
        <w:t>, 38, has served as the Chief Financial Officer of the Company since August 2015 and previously served as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of the Company, from January 2012 to August 2015. Prior to joining the Company, Mr. Sinanyan served as Senior Manager, Corporate Development and Finance, at Oversee.net, a</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technology-driven media company that owned and operated a portfolio of consumer and business-to-business properties, from 2007 to 2012. Prior to that, Mr. Sinanyan served as Manager of Strategy and Corporate Development at Lexicon Marketing, a direct response TV marketer of products and services to the U.S. Hispanic market, from October 2005 to October 2007. Mr. Sinanyan received his undergraduate degree in Business Administration from the University of California, Berkeley, Haas School of Business.</w:t>
      </w:r>
    </w:p>
    <w:p>
      <w:pPr>
        <w:spacing w:after="0" w:line="7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color w:val="auto"/>
        </w:rPr>
        <w:t>Keith Cramer</w:t>
      </w:r>
      <w:r>
        <w:rPr>
          <w:rFonts w:ascii="Arial" w:cs="Arial" w:eastAsia="Arial" w:hAnsi="Arial"/>
          <w:sz w:val="18"/>
          <w:szCs w:val="18"/>
          <w:color w:val="auto"/>
        </w:rPr>
        <w:t>, 40, has served as Senior Vice President, Supply Partnerships, of the Company since March 2014. Prior to joining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Mr. Cramer served as a Vice President at Vantage Media, an advertising technology company that specialized in online customer acquisition in the insurance and education verticals, from 2012 to 2014. Prior to that, Mr. Cramer served at QuinStreet, an online performance marketing company that provides online platform solutions to match consumers with brands in digital media, as Senior Director, Insurance, from 2010 to 2012, as Director, Insurance, from 2009 to 2010, and as Senior Manager, SureHits Publishing, from 2008 to 2009. Mr. Cramer received his undergraduate degree in Management and Economics from the University of Florida, Warrington College of Business Administration and his M.B.A. from Oklahoma Christian University.</w:t>
      </w:r>
    </w:p>
    <w:p>
      <w:pPr>
        <w:spacing w:after="0" w:line="83" w:lineRule="exact"/>
        <w:rPr>
          <w:sz w:val="20"/>
          <w:szCs w:val="20"/>
          <w:color w:val="auto"/>
        </w:rPr>
      </w:pPr>
    </w:p>
    <w:p>
      <w:pPr>
        <w:ind w:left="120" w:right="20"/>
        <w:spacing w:after="0" w:line="274" w:lineRule="auto"/>
        <w:rPr>
          <w:sz w:val="20"/>
          <w:szCs w:val="20"/>
          <w:color w:val="auto"/>
        </w:rPr>
      </w:pPr>
      <w:r>
        <w:rPr>
          <w:rFonts w:ascii="Arial" w:cs="Arial" w:eastAsia="Arial" w:hAnsi="Arial"/>
          <w:sz w:val="16"/>
          <w:szCs w:val="16"/>
          <w:b w:val="1"/>
          <w:bCs w:val="1"/>
          <w:color w:val="auto"/>
        </w:rPr>
        <w:t>Amy Yeh</w:t>
      </w:r>
      <w:r>
        <w:rPr>
          <w:rFonts w:ascii="Arial" w:cs="Arial" w:eastAsia="Arial" w:hAnsi="Arial"/>
          <w:sz w:val="16"/>
          <w:szCs w:val="16"/>
          <w:color w:val="auto"/>
        </w:rPr>
        <w:t>, 42, has served as Senior Vice President, Technology, of the Company since January 2019 and Vice President, Engineering,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from March 2015 to December 2018. Prior to joining the Company, Ms. Yeh served as the Chief Technology Officer at Wedge Buster, a gaming company specializing in sports gaming and fantasy sports on social networks and mobile platforms, from 2011 to 2015, and served as the Chief Product Officer at Federated Media Publishing, a digital content and marketing company that delivers advertising opportunities and engagement tools to reach agencies’ and brands’ target audiences, from 2010 to 2011. Prior to that, Ms. Yeh served as Senior Vice President, New Media and Digital Technology at STAR TV, a premier satellite television broadcaster in Asia, from 2008 to 2009. Ms. Yeh received her undergraduate degree in Computer Science and Integrated Biology from the University of California, Berkeley.</w:t>
      </w:r>
    </w:p>
    <w:p>
      <w:pPr>
        <w:spacing w:after="0" w:line="55" w:lineRule="exact"/>
        <w:rPr>
          <w:sz w:val="20"/>
          <w:szCs w:val="20"/>
          <w:color w:val="auto"/>
        </w:rPr>
      </w:pPr>
    </w:p>
    <w:p>
      <w:pPr>
        <w:ind w:left="120" w:right="60"/>
        <w:spacing w:after="0"/>
        <w:rPr>
          <w:sz w:val="20"/>
          <w:szCs w:val="20"/>
          <w:color w:val="auto"/>
        </w:rPr>
      </w:pPr>
      <w:r>
        <w:rPr>
          <w:rFonts w:ascii="Arial" w:cs="Arial" w:eastAsia="Arial" w:hAnsi="Arial"/>
          <w:sz w:val="18"/>
          <w:szCs w:val="18"/>
          <w:b w:val="1"/>
          <w:bCs w:val="1"/>
          <w:color w:val="auto"/>
        </w:rPr>
        <w:t>Brian Mikalis</w:t>
      </w:r>
      <w:r>
        <w:rPr>
          <w:rFonts w:ascii="Arial" w:cs="Arial" w:eastAsia="Arial" w:hAnsi="Arial"/>
          <w:sz w:val="18"/>
          <w:szCs w:val="18"/>
          <w:color w:val="auto"/>
        </w:rPr>
        <w:t>, 46, has served as Senior Vice President, Demand Partnerships, of the Company since March 2020. Prior to joining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Mr. Mikalis served as Senior Vice President, National Sales, at Firefly, a marketing company that installs and sells digital advertising on displays mounted to the tops of taxi and rideshare vehicles, from 2019 to 2020. Prior to that, Mr. Mikalis served at Pandora, a leading music and podcast discovery platform, as Senior Vice President, Monetization and Mid-Market Sales, from 2012 to 2018 and as Vice President, Performance, Inside and Local Sales, from 2009 to 2012. Mr. Mikalis received his undergraduate degree in Economics from the University of California, Santa Barbara and his M.B.A. from Saint Mary’s College of California.</w:t>
      </w:r>
    </w:p>
    <w:p>
      <w:pPr>
        <w:spacing w:after="0" w:line="81"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b w:val="1"/>
          <w:bCs w:val="1"/>
          <w:color w:val="auto"/>
        </w:rPr>
        <w:t>Robert Perine</w:t>
      </w:r>
      <w:r>
        <w:rPr>
          <w:rFonts w:ascii="Arial" w:cs="Arial" w:eastAsia="Arial" w:hAnsi="Arial"/>
          <w:sz w:val="18"/>
          <w:szCs w:val="18"/>
          <w:color w:val="auto"/>
        </w:rPr>
        <w:t>, 38, has served as Vice President, Product, of the Company since August 2017. Prior to joining the Company, Mr. Perine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Product Management at OpenX, a programmatic advertising technology company that optimizes a company’s advertising revenue, from 2015 to 2017, and served as Senior Manager, Product Management, at Demand Media, an online content company that operates brands including eHow, livestrong.com and Society6, from 2009 to 2015. Mr. Perine received his undergraduate degree in Computer Science from University of Southern California.</w:t>
      </w:r>
    </w:p>
    <w:p>
      <w:pPr>
        <w:spacing w:after="0" w:line="77"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color w:val="auto"/>
        </w:rPr>
        <w:t>Serge Topjian</w:t>
      </w:r>
      <w:r>
        <w:rPr>
          <w:rFonts w:ascii="Arial" w:cs="Arial" w:eastAsia="Arial" w:hAnsi="Arial"/>
          <w:sz w:val="18"/>
          <w:szCs w:val="18"/>
          <w:color w:val="auto"/>
        </w:rPr>
        <w:t>, 36, has served as Vice President, Media Buying, of the Company since January 2018 and Vice President, Paid Media,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May 2013 to January 2018. Prior to joining the Company, Mr. Topjian served as Senior Manager, Search Engine Marketing, at LegalZoom, a technology platform that provides access to professional legal advice, from 2013 to 2015, and served as Manager, Search Engine Marketing, at Oversee.net, a technology-driven media company that owned and operated a portfolio of consumer and business-to-business properties, from 2008 to 2011. Mr. Topjian received his undergraduate degree in Business Administration, Economics and Management from California State University, Northridge.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color w:val="auto"/>
        </w:rPr>
        <w:t>Jeff Sweetser</w:t>
      </w:r>
      <w:r>
        <w:rPr>
          <w:rFonts w:ascii="Arial" w:cs="Arial" w:eastAsia="Arial" w:hAnsi="Arial"/>
          <w:sz w:val="18"/>
          <w:szCs w:val="18"/>
          <w:color w:val="auto"/>
        </w:rPr>
        <w:t>, 37, has served as Vice President, Supply Partnerships, of the Company since January 2020, and as a Senior Director, Supply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of the Company since October 2015. Prior to joining the Company, Mr. Sweetser served as a Senior Director at Katch, an advertising technology company that specialized in online customer acquisition in the insurance and education verticals, from 2014 to 2015, as a Director from 2013-2014, and as Senior Manager from 2012-2013. Prior to that, Mr. Sweetser served at Inflection, a big data company as a Senior Manager, Affiliate Sales, from 2011 to 2012. Mr. Sweetser received his undergraduate degree in Marketing from Santa Clara University, the Leavey School of Business.</w:t>
      </w:r>
    </w:p>
    <w:p>
      <w:pPr>
        <w:spacing w:after="0" w:line="81"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color w:val="auto"/>
        </w:rPr>
        <w:t>Lance Martinez</w:t>
      </w:r>
      <w:r>
        <w:rPr>
          <w:rFonts w:ascii="Arial" w:cs="Arial" w:eastAsia="Arial" w:hAnsi="Arial"/>
          <w:sz w:val="18"/>
          <w:szCs w:val="18"/>
          <w:color w:val="auto"/>
        </w:rPr>
        <w:t>, 49, has served as General Counsel of the Company since December 2017. Prior to joining the Company, Mr. Martinez</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 Partner at Invictus Advisors, a boutique business consultancy and law firm focused on providing services to entrepreneurial companies, from 2011 to 2017. Mr. Martinez served at Oversee.net, a technology-driven media company that owned and operated a portfolio of consumer and business-to-business properties, as General Counsel, Domain Services, from 2009 to 2011 and as General Manager, Domain Management, from 2007 to 2009. Mr. Martinez received his undergraduate degree in Economics from the University of California, Davis and his J.D. from Yale Law School.</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Composition of the Board of Directors</w:t>
      </w:r>
    </w:p>
    <w:p>
      <w:pPr>
        <w:spacing w:after="0" w:line="134"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Our Board of Directors consists of nine members. The following table sets forth information as of the date hereof regarding individuals who serve as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700" w:type="dxa"/>
            <w:vAlign w:val="bottom"/>
          </w:tcPr>
          <w:p>
            <w:pPr>
              <w:ind w:left="100"/>
              <w:spacing w:after="0"/>
              <w:rPr>
                <w:sz w:val="20"/>
                <w:szCs w:val="20"/>
                <w:color w:val="auto"/>
              </w:rPr>
            </w:pPr>
            <w:r>
              <w:rPr>
                <w:rFonts w:ascii="Arial" w:cs="Arial" w:eastAsia="Arial" w:hAnsi="Arial"/>
                <w:sz w:val="18"/>
                <w:szCs w:val="18"/>
                <w:b w:val="1"/>
                <w:bCs w:val="1"/>
                <w:color w:val="auto"/>
              </w:rPr>
              <w:t>Committee</w:t>
            </w:r>
          </w:p>
        </w:tc>
      </w:tr>
      <w:tr>
        <w:trPr>
          <w:trHeight w:val="221"/>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Age</w:t>
            </w:r>
          </w:p>
        </w:tc>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Position</w:t>
            </w: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memberships</w:t>
            </w:r>
          </w:p>
        </w:tc>
      </w:tr>
      <w:tr>
        <w:trPr>
          <w:trHeight w:val="262"/>
        </w:trPr>
        <w:tc>
          <w:tcPr>
            <w:tcW w:w="2380" w:type="dxa"/>
            <w:vAlign w:val="bottom"/>
          </w:tcPr>
          <w:p>
            <w:pPr>
              <w:spacing w:after="0"/>
              <w:rPr>
                <w:sz w:val="20"/>
                <w:szCs w:val="20"/>
                <w:color w:val="auto"/>
              </w:rPr>
            </w:pPr>
            <w:r>
              <w:rPr>
                <w:rFonts w:ascii="Arial" w:cs="Arial" w:eastAsia="Arial" w:hAnsi="Arial"/>
                <w:sz w:val="18"/>
                <w:szCs w:val="18"/>
                <w:color w:val="auto"/>
              </w:rPr>
              <w:t>Venmal (Raji) Arasu</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3880" w:type="dxa"/>
            <w:vAlign w:val="bottom"/>
          </w:tcPr>
          <w:p>
            <w:pPr>
              <w:ind w:left="8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00"/>
              <w:spacing w:after="0"/>
              <w:rPr>
                <w:sz w:val="20"/>
                <w:szCs w:val="20"/>
                <w:color w:val="auto"/>
              </w:rPr>
            </w:pPr>
            <w:r>
              <w:rPr>
                <w:rFonts w:ascii="Arial" w:cs="Arial" w:eastAsia="Arial" w:hAnsi="Arial"/>
                <w:sz w:val="18"/>
                <w:szCs w:val="18"/>
                <w:color w:val="auto"/>
              </w:rPr>
              <w:t>Audit Committee, Compensation Committee</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Anthony Broglio</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3880" w:type="dxa"/>
            <w:vAlign w:val="bottom"/>
          </w:tcPr>
          <w:p>
            <w:pPr>
              <w:ind w:left="8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00"/>
              <w:spacing w:after="0"/>
              <w:rPr>
                <w:sz w:val="20"/>
                <w:szCs w:val="20"/>
                <w:color w:val="auto"/>
              </w:rPr>
            </w:pPr>
            <w:r>
              <w:rPr>
                <w:rFonts w:ascii="Arial" w:cs="Arial" w:eastAsia="Arial" w:hAnsi="Arial"/>
                <w:sz w:val="18"/>
                <w:szCs w:val="18"/>
                <w:color w:val="auto"/>
              </w:rPr>
              <w:t>Compensation Committee</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Christopher Delehanty</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3880" w:type="dxa"/>
            <w:vAlign w:val="bottom"/>
          </w:tcPr>
          <w:p>
            <w:pPr>
              <w:ind w:left="8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00"/>
              <w:spacing w:after="0"/>
              <w:rPr>
                <w:sz w:val="20"/>
                <w:szCs w:val="20"/>
                <w:color w:val="auto"/>
              </w:rPr>
            </w:pPr>
            <w:r>
              <w:rPr>
                <w:rFonts w:ascii="Arial" w:cs="Arial" w:eastAsia="Arial" w:hAnsi="Arial"/>
                <w:sz w:val="18"/>
                <w:szCs w:val="18"/>
                <w:color w:val="auto"/>
              </w:rPr>
              <w:t>Audit Committee</w:t>
            </w:r>
          </w:p>
        </w:tc>
      </w:tr>
      <w:tr>
        <w:trPr>
          <w:trHeight w:val="262"/>
        </w:trPr>
        <w:tc>
          <w:tcPr>
            <w:tcW w:w="2380" w:type="dxa"/>
            <w:vAlign w:val="bottom"/>
          </w:tcPr>
          <w:p>
            <w:pPr>
              <w:spacing w:after="0"/>
              <w:rPr>
                <w:sz w:val="20"/>
                <w:szCs w:val="20"/>
                <w:color w:val="auto"/>
              </w:rPr>
            </w:pPr>
            <w:r>
              <w:rPr>
                <w:rFonts w:ascii="Arial" w:cs="Arial" w:eastAsia="Arial" w:hAnsi="Arial"/>
                <w:sz w:val="18"/>
                <w:szCs w:val="18"/>
                <w:color w:val="auto"/>
              </w:rPr>
              <w:t>David Lowe</w:t>
            </w: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3880" w:type="dxa"/>
            <w:vAlign w:val="bottom"/>
          </w:tcPr>
          <w:p>
            <w:pPr>
              <w:ind w:left="8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00"/>
              <w:spacing w:after="0"/>
              <w:rPr>
                <w:sz w:val="20"/>
                <w:szCs w:val="20"/>
                <w:color w:val="auto"/>
              </w:rPr>
            </w:pPr>
            <w:r>
              <w:rPr>
                <w:rFonts w:ascii="Arial" w:cs="Arial" w:eastAsia="Arial" w:hAnsi="Arial"/>
                <w:sz w:val="18"/>
                <w:szCs w:val="18"/>
                <w:color w:val="auto"/>
              </w:rPr>
              <w:t>Nominating &amp; Corporate Governance</w:t>
            </w:r>
          </w:p>
        </w:tc>
      </w:tr>
      <w:tr>
        <w:trPr>
          <w:trHeight w:val="211"/>
        </w:trPr>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Committee</w:t>
            </w:r>
          </w:p>
        </w:tc>
      </w:tr>
      <w:tr>
        <w:trPr>
          <w:trHeight w:val="262"/>
        </w:trPr>
        <w:tc>
          <w:tcPr>
            <w:tcW w:w="2380" w:type="dxa"/>
            <w:vAlign w:val="bottom"/>
          </w:tcPr>
          <w:p>
            <w:pPr>
              <w:spacing w:after="0"/>
              <w:rPr>
                <w:sz w:val="20"/>
                <w:szCs w:val="20"/>
                <w:color w:val="auto"/>
              </w:rPr>
            </w:pPr>
            <w:r>
              <w:rPr>
                <w:rFonts w:ascii="Arial" w:cs="Arial" w:eastAsia="Arial" w:hAnsi="Arial"/>
                <w:sz w:val="18"/>
                <w:szCs w:val="18"/>
                <w:color w:val="auto"/>
              </w:rPr>
              <w:t>Jennifer Moyer</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3880" w:type="dxa"/>
            <w:vAlign w:val="bottom"/>
          </w:tcPr>
          <w:p>
            <w:pPr>
              <w:ind w:left="8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00"/>
              <w:spacing w:after="0"/>
              <w:rPr>
                <w:sz w:val="20"/>
                <w:szCs w:val="20"/>
                <w:color w:val="auto"/>
              </w:rPr>
            </w:pPr>
            <w:r>
              <w:rPr>
                <w:rFonts w:ascii="Arial" w:cs="Arial" w:eastAsia="Arial" w:hAnsi="Arial"/>
                <w:sz w:val="18"/>
                <w:szCs w:val="18"/>
                <w:color w:val="auto"/>
              </w:rPr>
              <w:t>Compensation Committee, Nominating &amp;</w:t>
            </w:r>
          </w:p>
        </w:tc>
      </w:tr>
      <w:tr>
        <w:trPr>
          <w:trHeight w:val="211"/>
        </w:trPr>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Corporate Governance Committee</w:t>
            </w:r>
          </w:p>
        </w:tc>
      </w:tr>
      <w:tr>
        <w:trPr>
          <w:trHeight w:val="262"/>
        </w:trPr>
        <w:tc>
          <w:tcPr>
            <w:tcW w:w="2380" w:type="dxa"/>
            <w:vAlign w:val="bottom"/>
          </w:tcPr>
          <w:p>
            <w:pPr>
              <w:spacing w:after="0"/>
              <w:rPr>
                <w:sz w:val="20"/>
                <w:szCs w:val="20"/>
                <w:color w:val="auto"/>
              </w:rPr>
            </w:pPr>
            <w:r>
              <w:rPr>
                <w:rFonts w:ascii="Arial" w:cs="Arial" w:eastAsia="Arial" w:hAnsi="Arial"/>
                <w:sz w:val="18"/>
                <w:szCs w:val="18"/>
                <w:color w:val="auto"/>
              </w:rPr>
              <w:t>Eugene Nonko</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3880" w:type="dxa"/>
            <w:vAlign w:val="bottom"/>
          </w:tcPr>
          <w:p>
            <w:pPr>
              <w:ind w:left="80"/>
              <w:spacing w:after="0"/>
              <w:rPr>
                <w:sz w:val="20"/>
                <w:szCs w:val="20"/>
                <w:color w:val="auto"/>
              </w:rPr>
            </w:pPr>
            <w:r>
              <w:rPr>
                <w:rFonts w:ascii="Arial" w:cs="Arial" w:eastAsia="Arial" w:hAnsi="Arial"/>
                <w:sz w:val="18"/>
                <w:szCs w:val="18"/>
                <w:color w:val="auto"/>
              </w:rPr>
              <w:t>Director, Chief Technology Officer, and Co-</w:t>
            </w:r>
          </w:p>
        </w:tc>
        <w:tc>
          <w:tcPr>
            <w:tcW w:w="37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1"/>
        </w:trPr>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Founder</w:t>
            </w:r>
          </w:p>
        </w:tc>
        <w:tc>
          <w:tcPr>
            <w:tcW w:w="3700" w:type="dxa"/>
            <w:vAlign w:val="bottom"/>
          </w:tcPr>
          <w:p>
            <w:pPr>
              <w:spacing w:after="0"/>
              <w:rPr>
                <w:sz w:val="18"/>
                <w:szCs w:val="18"/>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Lara Sweet</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3880" w:type="dxa"/>
            <w:vAlign w:val="bottom"/>
          </w:tcPr>
          <w:p>
            <w:pPr>
              <w:ind w:left="8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00"/>
              <w:spacing w:after="0"/>
              <w:rPr>
                <w:sz w:val="20"/>
                <w:szCs w:val="20"/>
                <w:color w:val="auto"/>
              </w:rPr>
            </w:pPr>
            <w:r>
              <w:rPr>
                <w:rFonts w:ascii="Arial" w:cs="Arial" w:eastAsia="Arial" w:hAnsi="Arial"/>
                <w:sz w:val="18"/>
                <w:szCs w:val="18"/>
                <w:color w:val="auto"/>
              </w:rPr>
              <w:t>Audit Committee, Compensation Committee</w:t>
            </w:r>
          </w:p>
        </w:tc>
      </w:tr>
      <w:tr>
        <w:trPr>
          <w:trHeight w:val="262"/>
        </w:trPr>
        <w:tc>
          <w:tcPr>
            <w:tcW w:w="2380" w:type="dxa"/>
            <w:vAlign w:val="bottom"/>
          </w:tcPr>
          <w:p>
            <w:pPr>
              <w:spacing w:after="0"/>
              <w:rPr>
                <w:sz w:val="20"/>
                <w:szCs w:val="20"/>
                <w:color w:val="auto"/>
              </w:rPr>
            </w:pPr>
            <w:r>
              <w:rPr>
                <w:rFonts w:ascii="Arial" w:cs="Arial" w:eastAsia="Arial" w:hAnsi="Arial"/>
                <w:sz w:val="18"/>
                <w:szCs w:val="18"/>
                <w:color w:val="auto"/>
              </w:rPr>
              <w:t>Kathy Vrabeck</w:t>
            </w: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3880" w:type="dxa"/>
            <w:vAlign w:val="bottom"/>
          </w:tcPr>
          <w:p>
            <w:pPr>
              <w:ind w:left="80"/>
              <w:spacing w:after="0"/>
              <w:rPr>
                <w:sz w:val="20"/>
                <w:szCs w:val="20"/>
                <w:color w:val="auto"/>
              </w:rPr>
            </w:pPr>
            <w:r>
              <w:rPr>
                <w:rFonts w:ascii="Arial" w:cs="Arial" w:eastAsia="Arial" w:hAnsi="Arial"/>
                <w:sz w:val="18"/>
                <w:szCs w:val="18"/>
                <w:color w:val="auto"/>
              </w:rPr>
              <w:t>Director and Board Chair</w:t>
            </w:r>
          </w:p>
        </w:tc>
        <w:tc>
          <w:tcPr>
            <w:tcW w:w="3700" w:type="dxa"/>
            <w:vAlign w:val="bottom"/>
          </w:tcPr>
          <w:p>
            <w:pPr>
              <w:ind w:left="100"/>
              <w:spacing w:after="0"/>
              <w:rPr>
                <w:sz w:val="20"/>
                <w:szCs w:val="20"/>
                <w:color w:val="auto"/>
              </w:rPr>
            </w:pPr>
            <w:r>
              <w:rPr>
                <w:rFonts w:ascii="Arial" w:cs="Arial" w:eastAsia="Arial" w:hAnsi="Arial"/>
                <w:sz w:val="18"/>
                <w:szCs w:val="18"/>
                <w:color w:val="auto"/>
              </w:rPr>
              <w:t>Nominating &amp; Corporate Governance</w:t>
            </w:r>
          </w:p>
        </w:tc>
      </w:tr>
      <w:tr>
        <w:trPr>
          <w:trHeight w:val="211"/>
        </w:trPr>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Committee</w:t>
            </w:r>
          </w:p>
        </w:tc>
      </w:tr>
      <w:tr>
        <w:trPr>
          <w:trHeight w:val="262"/>
        </w:trPr>
        <w:tc>
          <w:tcPr>
            <w:tcW w:w="2380" w:type="dxa"/>
            <w:vAlign w:val="bottom"/>
          </w:tcPr>
          <w:p>
            <w:pPr>
              <w:spacing w:after="0"/>
              <w:rPr>
                <w:sz w:val="20"/>
                <w:szCs w:val="20"/>
                <w:color w:val="auto"/>
              </w:rPr>
            </w:pPr>
            <w:r>
              <w:rPr>
                <w:rFonts w:ascii="Arial" w:cs="Arial" w:eastAsia="Arial" w:hAnsi="Arial"/>
                <w:sz w:val="18"/>
                <w:szCs w:val="18"/>
                <w:color w:val="auto"/>
              </w:rPr>
              <w:t>Steven Yi</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3880" w:type="dxa"/>
            <w:vAlign w:val="bottom"/>
          </w:tcPr>
          <w:p>
            <w:pPr>
              <w:ind w:left="80"/>
              <w:spacing w:after="0"/>
              <w:rPr>
                <w:sz w:val="20"/>
                <w:szCs w:val="20"/>
                <w:color w:val="auto"/>
              </w:rPr>
            </w:pPr>
            <w:r>
              <w:rPr>
                <w:rFonts w:ascii="Arial" w:cs="Arial" w:eastAsia="Arial" w:hAnsi="Arial"/>
                <w:sz w:val="18"/>
                <w:szCs w:val="18"/>
                <w:color w:val="auto"/>
                <w:w w:val="98"/>
              </w:rPr>
              <w:t>Director, Chief Executive Officer, President, and</w:t>
            </w:r>
          </w:p>
        </w:tc>
        <w:tc>
          <w:tcPr>
            <w:tcW w:w="3700" w:type="dxa"/>
            <w:vAlign w:val="bottom"/>
          </w:tcPr>
          <w:p>
            <w:pPr>
              <w:ind w:left="100"/>
              <w:spacing w:after="0"/>
              <w:rPr>
                <w:sz w:val="20"/>
                <w:szCs w:val="20"/>
                <w:color w:val="auto"/>
              </w:rPr>
            </w:pPr>
            <w:r>
              <w:rPr>
                <w:rFonts w:ascii="Arial" w:cs="Arial" w:eastAsia="Arial" w:hAnsi="Arial"/>
                <w:sz w:val="18"/>
                <w:szCs w:val="18"/>
                <w:color w:val="auto"/>
              </w:rPr>
              <w:t>Nominating &amp; Corporate Governance</w:t>
            </w:r>
          </w:p>
        </w:tc>
      </w:tr>
      <w:tr>
        <w:trPr>
          <w:trHeight w:val="212"/>
        </w:trPr>
        <w:tc>
          <w:tcPr>
            <w:tcW w:w="2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Co-Founder</w:t>
            </w: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Committee</w:t>
            </w:r>
          </w:p>
        </w:tc>
      </w:tr>
    </w:tbl>
    <w:p>
      <w:pPr>
        <w:spacing w:after="0" w:line="91" w:lineRule="exact"/>
        <w:rPr>
          <w:sz w:val="20"/>
          <w:szCs w:val="20"/>
          <w:color w:val="auto"/>
        </w:rPr>
      </w:pPr>
    </w:p>
    <w:p>
      <w:pPr>
        <w:ind w:left="120" w:right="320"/>
        <w:spacing w:after="0" w:line="241" w:lineRule="auto"/>
        <w:rPr>
          <w:sz w:val="20"/>
          <w:szCs w:val="20"/>
          <w:color w:val="auto"/>
        </w:rPr>
      </w:pPr>
      <w:r>
        <w:rPr>
          <w:rFonts w:ascii="Arial" w:cs="Arial" w:eastAsia="Arial" w:hAnsi="Arial"/>
          <w:sz w:val="18"/>
          <w:szCs w:val="18"/>
          <w:b w:val="1"/>
          <w:bCs w:val="1"/>
          <w:i w:val="1"/>
          <w:iCs w:val="1"/>
          <w:color w:val="auto"/>
        </w:rPr>
        <w:t>Venmal (Raji) Arasu</w:t>
      </w:r>
      <w:r>
        <w:rPr>
          <w:rFonts w:ascii="Arial" w:cs="Arial" w:eastAsia="Arial" w:hAnsi="Arial"/>
          <w:sz w:val="18"/>
          <w:szCs w:val="18"/>
          <w:color w:val="auto"/>
        </w:rPr>
        <w:t>, 51, was appointed director of the Company upon the completion of the IPO. Ms. Arasu is currently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Intuit Platform of Intuit Inc., a business and financial software company that develops and sells financial, accounting, tax preparation software, and related services for small businesses, accountants, and individuals. Ms. Arasu previously served as the Chief Technology Officer for StubHub, Inc., the online and mobile ticketing marketplace subsidiary of eBay Inc., from November 2011 to January 2016. At eBay,</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she served as the Vice President of Engineering from 2008 to 2011, and in other positions of increasing authority from 2001 to 2008. She has served as one of NIC Inc.’s directors since 2015. Ms. Arasu holds a B.S. in Computer Engineering from Pune University, Pune, India. Ms. Arasu is qualified to serve on the Board of Directors because of her engineering expertise in technology, business strategy, and management experience.</w:t>
      </w:r>
    </w:p>
    <w:p>
      <w:pPr>
        <w:spacing w:after="0" w:line="78"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b w:val="1"/>
          <w:bCs w:val="1"/>
          <w:color w:val="auto"/>
        </w:rPr>
        <w:t>Anthony Broglio</w:t>
      </w:r>
      <w:r>
        <w:rPr>
          <w:rFonts w:ascii="Arial" w:cs="Arial" w:eastAsia="Arial" w:hAnsi="Arial"/>
          <w:sz w:val="18"/>
          <w:szCs w:val="18"/>
          <w:color w:val="auto"/>
        </w:rPr>
        <w:t>, 46, was appointed director of the Company in July 2020 and prior to the IPO served as director of QL Holdings LLC. Mr.</w:t>
      </w:r>
      <w:r>
        <w:rPr>
          <w:rFonts w:ascii="Arial" w:cs="Arial" w:eastAsia="Arial" w:hAnsi="Arial"/>
          <w:sz w:val="18"/>
          <w:szCs w:val="18"/>
          <w:b w:val="1"/>
          <w:bCs w:val="1"/>
          <w:color w:val="auto"/>
        </w:rPr>
        <w:t xml:space="preserve"> </w:t>
      </w:r>
      <w:r>
        <w:rPr>
          <w:rFonts w:ascii="Arial" w:cs="Arial" w:eastAsia="Arial" w:hAnsi="Arial"/>
          <w:sz w:val="18"/>
          <w:szCs w:val="18"/>
          <w:color w:val="auto"/>
        </w:rPr>
        <w:t>Broglio is a founding Partner at Insignia, a San Francisco Bay Area private equity firm focused on lower middle-market companies. Insignia has owned a minority stake in QL Holdings LLC since the Insignia transaction in 2019 and is a stockholder of the Company. Prior to founding Insignia in 2012, Mr. Broglio worked as a Principal and member of the executive committee of Lake Capital, a Chicago-based private equity fund with over $1.3 billion under management. During his more than nine years with Lake Capital, Mr. Broglio served on the boards of twelve portfolio companies. Mr. Broglio received a B.S. in Finance from the University of Colorado and an M.B.A. with Honors from the University of Chicago Booth School of Business. Mr. Broglio is qualified to serve on our Board of Directors because of his financial expertise and management experience.</w:t>
      </w:r>
    </w:p>
    <w:p>
      <w:pPr>
        <w:spacing w:after="0" w:line="79" w:lineRule="exact"/>
        <w:rPr>
          <w:sz w:val="20"/>
          <w:szCs w:val="20"/>
          <w:color w:val="auto"/>
        </w:rPr>
      </w:pPr>
    </w:p>
    <w:p>
      <w:pPr>
        <w:ind w:left="120" w:right="40"/>
        <w:spacing w:after="0" w:line="274" w:lineRule="auto"/>
        <w:rPr>
          <w:sz w:val="20"/>
          <w:szCs w:val="20"/>
          <w:color w:val="auto"/>
        </w:rPr>
      </w:pPr>
      <w:r>
        <w:rPr>
          <w:rFonts w:ascii="Arial" w:cs="Arial" w:eastAsia="Arial" w:hAnsi="Arial"/>
          <w:sz w:val="16"/>
          <w:szCs w:val="16"/>
          <w:b w:val="1"/>
          <w:bCs w:val="1"/>
          <w:color w:val="auto"/>
        </w:rPr>
        <w:t>Christopher Delehanty</w:t>
      </w:r>
      <w:r>
        <w:rPr>
          <w:rFonts w:ascii="Arial" w:cs="Arial" w:eastAsia="Arial" w:hAnsi="Arial"/>
          <w:sz w:val="16"/>
          <w:szCs w:val="16"/>
          <w:color w:val="auto"/>
        </w:rPr>
        <w:t>, 38, was appointed director of the Company in July 2020 and prior to the IPO served as a director of QL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LLC. Mr. Delehanty is a Managing Director at White Mountains, where he focuses on the company’s direct investing and merger and acquisition activity in the insurance and financial services sectors. White Mountains has owned a stake in QL Holdings LLC since 2014 and is a stockholder of the Company. Prior to joining White Mountains in 2009, Mr. Delehanty worked in private equity and investment banking at Alta Communications and UBS Investment Bank. Mr. Delehanty currently sits on the board of NSM Insurance Group, a full-service MGU and program administrator for specialty property &amp; casualty insurance. Mr. Delehanty received his B.S. in Finance from Boston College. Mr. Delehanty is qualified to serve on our Board of Directors because of his financial expertise and management and board experience.</w:t>
      </w:r>
    </w:p>
    <w:p>
      <w:pPr>
        <w:spacing w:after="0" w:line="5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b w:val="1"/>
          <w:bCs w:val="1"/>
          <w:color w:val="auto"/>
        </w:rPr>
        <w:t>David Lowe</w:t>
      </w:r>
      <w:r>
        <w:rPr>
          <w:rFonts w:ascii="Arial" w:cs="Arial" w:eastAsia="Arial" w:hAnsi="Arial"/>
          <w:sz w:val="18"/>
          <w:szCs w:val="18"/>
          <w:color w:val="auto"/>
        </w:rPr>
        <w:t>, 60, was appointed director of the Company upon the completion of the IPO. Mr. Lowe is a founding Partner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Insignia, a San Francisco Bay Area private equity firm focused on lower middle-market companies. Insignia has owned a minority stake in QL Holdings LLC since the Insignia transaction in 2019 and is a stockholder of the Company. Prior to that, Mr. Lowe was a co-founder and Vice Chairman of Friedman Fleischer &amp; Lowe, a San Francisco-based private equity firm with over $2.5 billion under management. During his 13 years at Friedman Fleischer &amp; Lowe, Mr. Lowe was on the Investment Committee and served as Chairman of the boards of Guardian Home Care Holdings, Discovery Foods, Church’s Chicken, Benevis, GeoVera Insurance Group Holdings, and Advanced Career Technologies, as well as a director at DPMS, SteelPoint Technologies, and Korn/Ferry International. Mr. Lowe currently serves as Chairman on the boards of Truco Enterprises, Tillamook Country Smoker, and Century Snacks. Mr. Lowe received a B.A. with Honors from the University of California at Davis and an M.B.A. from the Stanford Graduate School of Business. Mr. Lowe is qualified to serve on our Board of Directors because of his financial expertise and management experience.</w:t>
      </w:r>
    </w:p>
    <w:p>
      <w:pPr>
        <w:spacing w:after="0" w:line="8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color w:val="auto"/>
        </w:rPr>
        <w:t>Jennifer Moyer</w:t>
      </w:r>
      <w:r>
        <w:rPr>
          <w:rFonts w:ascii="Arial" w:cs="Arial" w:eastAsia="Arial" w:hAnsi="Arial"/>
          <w:sz w:val="18"/>
          <w:szCs w:val="18"/>
          <w:color w:val="auto"/>
        </w:rPr>
        <w:t>, 49, was appointed director of the Company upon the completion of the IPO and serves as the chair of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Ms. Moyer has been the Chief Administrative Officer of White Mountains, a financial services holding company, since 2017. White Mountains has owned a stake in QL Holdings LLC since 2014 and is a stockholder of the Company. Prior to joining White Mountains, Ms. Moyer worked at Goldman Sachs for 23 years in a variety of leadership roles including Chief of Staff for Asia Pacific Ex-Japan and Managing Director in Human Capital Management for Asia Pacific. Ms. Moyer received a B.A. in Social Anthropology from Harvard College and an M.B.A. from the Tuck School of Business at Dartmouth. Ms. Moyer is qualified to serve on our Board of Directors because of her extensive experience as a senior executive with management expertise, as well as her human capital management and corporate governance experience.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b w:val="1"/>
          <w:bCs w:val="1"/>
          <w:color w:val="auto"/>
        </w:rPr>
        <w:t>Lara Sweet</w:t>
      </w:r>
      <w:r>
        <w:rPr>
          <w:rFonts w:ascii="Arial" w:cs="Arial" w:eastAsia="Arial" w:hAnsi="Arial"/>
          <w:sz w:val="18"/>
          <w:szCs w:val="18"/>
          <w:color w:val="auto"/>
        </w:rPr>
        <w:t>, 46, was appointed director of the Company upon the completion of the IPO and serves as the chair of 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Ms. Sweet is the Chief People Officer at Snap Inc., a camera company and owner of the application Snapchat. Ms. Sweet has served in that role since May 2019. Prior to that, Ms. Sweet served as Snap Inc.’s interim Chief Financial Officer from January 2019 to May 2019, Chief Accounting Officer from October 2017 to September 2019, and as Controller from June 2016 to October 2017. Prior to Snap, Ms. Sweet worked at AOL, Inc. for over six years, most recently serving as Controller and Chief Accounting Officer from November 2014 to June 2016. Prior to that, Ms. Sweet served as AOL’s Vice President, Internal Audit from April 2014 to November 2014 and Vice President, Assistant Controller from August 2011 to April 2014. Ms. Sweet holds a B.S. in Accounting from George Mason University and is a member of the American Institute of Certified Public Accountants. Ms. Sweet is qualified to serve on our Board of Directors because of her financial expertise and management experience.</w:t>
      </w:r>
    </w:p>
    <w:p>
      <w:pPr>
        <w:spacing w:after="0" w:line="83"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b w:val="1"/>
          <w:bCs w:val="1"/>
          <w:color w:val="auto"/>
        </w:rPr>
        <w:t>Kathy Vrabeck</w:t>
      </w:r>
      <w:r>
        <w:rPr>
          <w:rFonts w:ascii="Arial" w:cs="Arial" w:eastAsia="Arial" w:hAnsi="Arial"/>
          <w:sz w:val="16"/>
          <w:szCs w:val="16"/>
          <w:color w:val="auto"/>
        </w:rPr>
        <w:t>, 57, was appointed director of the Company upon the completion of the IPO and serves as the chair of our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the chair of the Nominating &amp; Corporate Governance Committee. Ms. Vrabeck is a Senior Client Partner in the Los Angeles office of Korn Ferry, a global talent and organizational advisory firm, where she leads Korn Ferry’s Consumer Digital sector. Prior to joining Korn Ferry in October 2015, she was a Partner at Heidrick &amp; Struggles International, Inc., an executive search firm, where she served as both Global Sector Leader of their Media, Entertainment and Digital practice and partner-in-charge of the Los Angeles office. Prior to that,</w:t>
      </w:r>
    </w:p>
    <w:p>
      <w:pPr>
        <w:spacing w:after="0" w:line="3"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Ms. Vrabeck was with Legendary Entertainment, a media company, from March 2009 to March 2011 where she served as President, Legendary Digital and was responsible for the creation, management and delivery of digital entertainment, with a focus on video games, across current and next-generation platforms. From May 2007 to November 2008, Ms. Vrabeck was with Electronic Arts, Inc., a developer, marketer, publisher and distributor of video games (“EA”), where she served as President, EA Casual Entertainment. Ms. Vrabeck serves as Chair of the GameStop (NYSE:GME) board of directors. Ms. Vrabeck received a bachelor’s degree in French and economics from DePauw University and an M.B.A. from Indiana University. Ms. Vrabeck is qualified to serve on our Board of Directors because of her expertise in digital media and her management and board experience.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Election of directors</w:t>
      </w:r>
    </w:p>
    <w:p>
      <w:pPr>
        <w:spacing w:after="0" w:line="13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Our Board of Directors is divided into three classes, each of which is composed of three directors. The directors designated as Class I directors have terms expiring at the first annual meeting of stockholders following the completion of the IPO, which we expect to hold in 2021. The directors designated as Class II directors have terms expiring at the following year’s annual meeting of stockholders, which we expect to hold in 2022, and the directors designated as Class III directors have terms expiring at the following year’s annual meeting of stockholders, which we expect to hold in 2023. Commencing with the first annual meeting of stockholders following the completion of the IPO, which we expect to hold in 2021, directors for each class will be elected at the annual meeting of stockholders held in the year in which the term for that class expires and thereafter will serve for a term of three years. As a result, a portion of our Board of Directors will be elected each year. At any meeting of stockholders for the election of directors at which a quorum is present, the election will be determined by the affirmative vote of a majority of the issued and outstanding shares of common stock, voting together as one class, entitled to vote in the election.</w:t>
      </w:r>
    </w:p>
    <w:p>
      <w:pPr>
        <w:spacing w:after="0" w:line="95" w:lineRule="exact"/>
        <w:rPr>
          <w:sz w:val="20"/>
          <w:szCs w:val="20"/>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Class I directors are Anthony Broglio, Christopher Delehanty, and Eugene Nonko.</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Class II directors are David Lowe, Jennifer Moyer, and Steven Yi.</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Class III directors are Venmal (Raji) Arasu, Lara Sweet, and Kathy Vrabeck.</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360"/>
        <w:spacing w:after="0" w:line="237" w:lineRule="auto"/>
        <w:rPr>
          <w:sz w:val="20"/>
          <w:szCs w:val="20"/>
          <w:color w:val="auto"/>
        </w:rPr>
      </w:pPr>
      <w:r>
        <w:rPr>
          <w:rFonts w:ascii="Arial" w:cs="Arial" w:eastAsia="Arial" w:hAnsi="Arial"/>
          <w:sz w:val="18"/>
          <w:szCs w:val="18"/>
          <w:color w:val="auto"/>
        </w:rPr>
        <w:t>There is no limit on the number of terms a director may serve on our Board of Directors. In case of any increase or decrease, from time to time, in the number of directors, the number of directors in each class will be apportioned as nearly equal as possible. The division of our Board of Directors into three classes with staggered three-year terms may have the effect of discouraging, delaying or preventing a transaction involving a change in control.</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Pursuant to the stockholders’ agreement we entered into with White Mountains, Insignia, and the Founders in connection with the IPO, for so long as each of White Mountains, Insignia, and the Founders owns at least 12.5% of our issued and outstanding shares of common stock as of the closing of the IPO, such stockholder is entitled to nominate two directors to serve on our Board of Directors. When such stockholder owns less than 12.5% but at least 5% of our issued and outstanding shares of common stock as of the closing of the IPO, such stockholder will be entitled to nominate one director. White Mountains, Insignia, and the Founders have agreed in the stockholders’ agreement to vote for each other’s board nominees.</w:t>
      </w:r>
    </w:p>
    <w:p>
      <w:pPr>
        <w:spacing w:after="0" w:line="10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amended and restated bylaws provide that the authorized number of directors may only be changed by a resolution adopted by a majority of our Board of Directors, subject to the terms of our stockholders’ agreement.</w:t>
      </w:r>
    </w:p>
    <w:p>
      <w:pPr>
        <w:spacing w:after="0" w:line="101"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Under the stockholders’ agreement and subject to our amended and restated certificate of incorporation, our amended and restated bylaws and applicable law, certain actions cannot be taken by us without the prior written consent of a majority in interest of White Mountains, Insignia, and the Founders, for so long as such stockholders continue to own at least a majority of the issued and outstanding shares of common stock after the completion of the IPO. These actions include, among others, increasing or decreasing the size of the board and engaging in change of control transactions. See “Organizational structure—Stockholders’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Controlled company</w:t>
      </w:r>
    </w:p>
    <w:p>
      <w:pPr>
        <w:spacing w:after="0" w:line="13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Certain of our existing investors that are a party to the stockholders’ agreement own a majority of the voting power of our outstanding common stock. Accordingly, we are considered a “controlled company” under the NYSE rules. Under these rules, a “controlled company” may elect not to comply with certain corporate governance requirements, including the requirements that, within one year of the date of listing of our Class A common stock:</w:t>
      </w:r>
    </w:p>
    <w:p>
      <w:pPr>
        <w:spacing w:after="0" w:line="114" w:lineRule="exact"/>
        <w:rPr>
          <w:sz w:val="20"/>
          <w:szCs w:val="20"/>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 board that is composed of a majority of “independent directors” as defined under the NYSE rules;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 compensation committee and nominating and corporate governance committee that is composed of independent directors.</w:t>
      </w:r>
    </w:p>
    <w:p>
      <w:pPr>
        <w:spacing w:after="0" w:line="104"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We intend to continue to take advantage of these exemptions for so long as we continue to qualify as a “controlled company.” These exemptions do not modify the independence requirements for our audit committee, and we intend to continue to comply with the applicable requirements of the Sarbanes-Oxley Act and rules with respect to our audit committee within the applicable time frame.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3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Our Board of Directors has undertaken a review of the composition of our Board of Directors, the Audit Committee, the Compensation Committee and the independence of each director on the Board of Directors. Based upon information requested from and provided by each director concerning his or her background, employment and affiliations, including family relationships, our Board of Directors has determined that each of Venmal (Raji) Arasu, Anthony Broglio, David Lowe, Lara Sweet, and Kathy Vrabeck is “independent” as defined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under the rules of the NYSE. Our Board of Directors also determined that Venmal (Raji) Arasu and Lara Sweet, who serve on our Audit Committee, satisfy the independence standards for that committee established by the SEC and the rules of the NYSE.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 and any institutional stockholder with which he or she is affiliated.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134"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Our Board of Directors has established standing committees in connection with the discharge of its responsibilities. These committees include the Audit Committee, the Compensation Committee and the Nominating and Corporate Governance Committee. Our Board of Directors may also establish such other committees as it deems appropriate, in accordance with applicable law and our corporate governance documents. A copy of each committee’s charter is posted on the corporate governance section of our website, www.mediaalpha.com.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Committee’s primary responsibilities include:</w:t>
      </w:r>
    </w:p>
    <w:p>
      <w:pPr>
        <w:spacing w:after="0" w:line="117" w:lineRule="exact"/>
        <w:rPr>
          <w:sz w:val="20"/>
          <w:szCs w:val="20"/>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management’s establishment and maintenance of adequate systems of internal accounting and financial controls;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the effectiveness of our legal and regulatory compliance programs;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our financial reporting process, including the filing of financial reports;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selecting independent auditors, evaluating their independence and performance and approving audit fees and services performed by them.</w:t>
      </w:r>
    </w:p>
    <w:p>
      <w:pPr>
        <w:spacing w:after="0" w:line="127"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The members of our Audit Committee are Venmal (Raji) Arasu, Christopher Delehanty, and Lara Sweet. Our Board of Directors has determined that Lara Sweet is an “audit committee financial expert” as defined by applicable SEC rules.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Committee’s primary responsibilities include:</w:t>
      </w:r>
    </w:p>
    <w:p>
      <w:pPr>
        <w:spacing w:after="0" w:line="117" w:lineRule="exact"/>
        <w:rPr>
          <w:sz w:val="20"/>
          <w:szCs w:val="20"/>
          <w:color w:val="auto"/>
        </w:rPr>
      </w:pPr>
    </w:p>
    <w:p>
      <w:pPr>
        <w:ind w:left="340" w:right="600" w:hanging="224"/>
        <w:spacing w:after="0" w:line="23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ensuring our executive compensation programs are appropriately competitive, supporting organizational objectives and stockholder interests and emphasizing pay for performance linkage;</w:t>
      </w:r>
    </w:p>
    <w:p>
      <w:pPr>
        <w:spacing w:after="0" w:line="114"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evaluating and approving compensation and setting performance criteria for compensation programs for our chief executive officer and other executive officers;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overseeing the implementation and administration of our compensation plans.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members of our Compensation Committee are Venmal (Raji) Arasu, Anthony Broglio, Jennifer Moyer, and Lara Sweet.</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Committee’s primary responsibilities include:</w:t>
      </w:r>
    </w:p>
    <w:p>
      <w:pPr>
        <w:spacing w:after="0" w:line="117" w:lineRule="exact"/>
        <w:rPr>
          <w:sz w:val="20"/>
          <w:szCs w:val="20"/>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recommending nominees for our Board of Directors and its committees;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recommending the size and composition of our Board of Directors and its committees;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our corporate governance guidelines and proposed amendments to our certificate of incorporation and bylaws;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making recommendations to address stockholder proposals.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members of our Nominating and Corporate Governance Committee are David Lowe, Jennifer Moyer, Kathy Vrabeck, Steven Yi.</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adopted a code of business conduct and ethics, or “Code of Ethics,” which applies to all of our directors, officers and employees, including our principal executive officer, principal financial officer, principal accounting officer and persons performing similar functions. The Code of Ethics is available upon written request to our Corporate Secretary or on our website at www.mediaalpha.com. If we amend or grant any waiver from a provision of our Code of Ethics that applies to any of our executive officers, we will publicly disclose such amendment or waiver on our website and as required by applicable law.</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0"/>
          </w:cols>
          <w:pgMar w:left="320" w:top="459" w:right="5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Executive compensation</w:t>
      </w:r>
    </w:p>
    <w:p>
      <w:pPr>
        <w:spacing w:after="0" w:line="157"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This section provides a discussion of the compensation paid or awarded to our principal executive officer and our two other most highly compensated executive officers for fiscal 2020. We refer to these individuals as our named executive officers (“NEOs”). For fiscal 2020, our NEOs were Steven Yi, our Chief Executive Officer and Co-Founder; Eugene Nonko, our Chief Technology Officer and Co-Founder; and Tigran Sinanyan, our Chief Financial Officer.</w:t>
      </w:r>
    </w:p>
    <w:p>
      <w:pPr>
        <w:spacing w:after="0" w:line="100" w:lineRule="exact"/>
        <w:rPr>
          <w:sz w:val="20"/>
          <w:szCs w:val="20"/>
          <w:color w:val="auto"/>
        </w:rPr>
      </w:pPr>
    </w:p>
    <w:p>
      <w:pPr>
        <w:ind w:left="120" w:right="520"/>
        <w:spacing w:after="0" w:line="239" w:lineRule="auto"/>
        <w:rPr>
          <w:sz w:val="20"/>
          <w:szCs w:val="20"/>
          <w:color w:val="auto"/>
        </w:rPr>
      </w:pPr>
      <w:r>
        <w:rPr>
          <w:rFonts w:ascii="Arial" w:cs="Arial" w:eastAsia="Arial" w:hAnsi="Arial"/>
          <w:sz w:val="18"/>
          <w:szCs w:val="18"/>
          <w:color w:val="auto"/>
        </w:rPr>
        <w:t>As an “emerging growth company” as defined in the JOBS Act, we are not required to include a Compensation Discussion and Analysis section and have elected to comply with the disclosure requirements applicable to emerging growth companies.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 for fiscal years 2019 and 2020</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total compensation awarded to, or earned by or paid to, our NEOs with respect to fiscals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b w:val="1"/>
                <w:bCs w:val="1"/>
                <w:color w:val="auto"/>
              </w:rPr>
              <w:t>Nonequity</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Stock</w:t>
            </w:r>
          </w:p>
        </w:tc>
        <w:tc>
          <w:tcPr>
            <w:tcW w:w="136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incentive plan</w:t>
            </w:r>
          </w:p>
        </w:tc>
        <w:tc>
          <w:tcPr>
            <w:tcW w:w="138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Fiscal</w:t>
            </w: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Salary</w:t>
            </w: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Bonus</w:t>
            </w:r>
          </w:p>
        </w:tc>
        <w:tc>
          <w:tcPr>
            <w:tcW w:w="108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awards</w:t>
            </w:r>
          </w:p>
        </w:tc>
        <w:tc>
          <w:tcPr>
            <w:tcW w:w="136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compensation</w:t>
            </w:r>
          </w:p>
        </w:tc>
        <w:tc>
          <w:tcPr>
            <w:tcW w:w="138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compensation</w:t>
            </w:r>
          </w:p>
        </w:tc>
        <w:tc>
          <w:tcPr>
            <w:tcW w:w="1060" w:type="dxa"/>
            <w:vAlign w:val="bottom"/>
            <w:gridSpan w:val="2"/>
          </w:tcPr>
          <w:p>
            <w:pPr>
              <w:ind w:left="600"/>
              <w:spacing w:after="0" w:line="202" w:lineRule="exact"/>
              <w:rPr>
                <w:sz w:val="20"/>
                <w:szCs w:val="20"/>
                <w:color w:val="auto"/>
              </w:rPr>
            </w:pPr>
            <w:r>
              <w:rPr>
                <w:rFonts w:ascii="Arial" w:cs="Arial" w:eastAsia="Arial" w:hAnsi="Arial"/>
                <w:sz w:val="18"/>
                <w:szCs w:val="18"/>
                <w:b w:val="1"/>
                <w:bCs w:val="1"/>
                <w:color w:val="auto"/>
              </w:rPr>
              <w:t>Total</w:t>
            </w:r>
          </w:p>
        </w:tc>
      </w:tr>
      <w:tr>
        <w:trPr>
          <w:trHeight w:val="235"/>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year</w:t>
            </w:r>
          </w:p>
        </w:tc>
        <w:tc>
          <w:tcPr>
            <w:tcW w:w="860" w:type="dxa"/>
            <w:vAlign w:val="bottom"/>
            <w:tcBorders>
              <w:bottom w:val="single" w:sz="8" w:color="auto"/>
            </w:tcBorders>
          </w:tcPr>
          <w:p>
            <w:pPr>
              <w:jc w:val="right"/>
              <w:ind w:right="37"/>
              <w:spacing w:after="0" w:line="235"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(1)</w:t>
            </w:r>
          </w:p>
        </w:tc>
        <w:tc>
          <w:tcPr>
            <w:tcW w:w="860" w:type="dxa"/>
            <w:vAlign w:val="bottom"/>
            <w:tcBorders>
              <w:bottom w:val="single" w:sz="8" w:color="auto"/>
            </w:tcBorders>
          </w:tcPr>
          <w:p>
            <w:pPr>
              <w:jc w:val="right"/>
              <w:ind w:right="37"/>
              <w:spacing w:after="0" w:line="235"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(2)</w:t>
            </w:r>
          </w:p>
        </w:tc>
        <w:tc>
          <w:tcPr>
            <w:tcW w:w="1080" w:type="dxa"/>
            <w:vAlign w:val="bottom"/>
            <w:tcBorders>
              <w:bottom w:val="single" w:sz="8" w:color="auto"/>
            </w:tcBorders>
          </w:tcPr>
          <w:p>
            <w:pPr>
              <w:jc w:val="right"/>
              <w:ind w:right="16"/>
              <w:spacing w:after="0" w:line="235"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(3)</w:t>
            </w:r>
          </w:p>
        </w:tc>
        <w:tc>
          <w:tcPr>
            <w:tcW w:w="1360" w:type="dxa"/>
            <w:vAlign w:val="bottom"/>
            <w:tcBorders>
              <w:bottom w:val="single" w:sz="8" w:color="auto"/>
            </w:tcBorders>
          </w:tcPr>
          <w:p>
            <w:pPr>
              <w:jc w:val="right"/>
              <w:ind w:right="16"/>
              <w:spacing w:after="0" w:line="235"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(4)</w:t>
            </w:r>
          </w:p>
        </w:tc>
        <w:tc>
          <w:tcPr>
            <w:tcW w:w="1380" w:type="dxa"/>
            <w:vAlign w:val="bottom"/>
            <w:tcBorders>
              <w:bottom w:val="single" w:sz="8" w:color="auto"/>
            </w:tcBorders>
          </w:tcPr>
          <w:p>
            <w:pPr>
              <w:jc w:val="right"/>
              <w:ind w:right="16"/>
              <w:spacing w:after="0" w:line="235"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(5)</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r>
      <w:tr>
        <w:trPr>
          <w:trHeight w:val="181"/>
        </w:trPr>
        <w:tc>
          <w:tcPr>
            <w:tcW w:w="3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Steven Yi</w:t>
            </w:r>
          </w:p>
        </w:tc>
        <w:tc>
          <w:tcPr>
            <w:tcW w:w="840" w:type="dxa"/>
            <w:vAlign w:val="bottom"/>
            <w:shd w:val="clear" w:color="auto" w:fill="CCEEFF"/>
          </w:tcPr>
          <w:p>
            <w:pPr>
              <w:jc w:val="right"/>
              <w:ind w:right="12"/>
              <w:spacing w:after="0" w:line="182" w:lineRule="exact"/>
              <w:rPr>
                <w:sz w:val="20"/>
                <w:szCs w:val="20"/>
                <w:color w:val="auto"/>
              </w:rPr>
            </w:pPr>
            <w:r>
              <w:rPr>
                <w:rFonts w:ascii="Arial" w:cs="Arial" w:eastAsia="Arial" w:hAnsi="Arial"/>
                <w:sz w:val="18"/>
                <w:szCs w:val="18"/>
                <w:color w:val="auto"/>
              </w:rPr>
              <w:t>2020</w:t>
            </w:r>
          </w:p>
        </w:tc>
        <w:tc>
          <w:tcPr>
            <w:tcW w:w="860" w:type="dxa"/>
            <w:vAlign w:val="bottom"/>
            <w:shd w:val="clear" w:color="auto" w:fill="CCEEFF"/>
          </w:tcPr>
          <w:p>
            <w:pPr>
              <w:jc w:val="right"/>
              <w:ind w:right="37"/>
              <w:spacing w:after="0" w:line="182" w:lineRule="exact"/>
              <w:rPr>
                <w:sz w:val="20"/>
                <w:szCs w:val="20"/>
                <w:color w:val="auto"/>
              </w:rPr>
            </w:pPr>
            <w:r>
              <w:rPr>
                <w:rFonts w:ascii="Arial" w:cs="Arial" w:eastAsia="Arial" w:hAnsi="Arial"/>
                <w:sz w:val="18"/>
                <w:szCs w:val="18"/>
                <w:color w:val="auto"/>
              </w:rPr>
              <w:t>512,750</w:t>
            </w:r>
          </w:p>
        </w:tc>
        <w:tc>
          <w:tcPr>
            <w:tcW w:w="860" w:type="dxa"/>
            <w:vAlign w:val="bottom"/>
            <w:shd w:val="clear" w:color="auto" w:fill="CCEEFF"/>
          </w:tcPr>
          <w:p>
            <w:pPr>
              <w:jc w:val="right"/>
              <w:ind w:right="37"/>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line="182" w:lineRule="exact"/>
              <w:rPr>
                <w:sz w:val="20"/>
                <w:szCs w:val="20"/>
                <w:color w:val="auto"/>
              </w:rPr>
            </w:pPr>
            <w:r>
              <w:rPr>
                <w:rFonts w:ascii="Arial" w:cs="Arial" w:eastAsia="Arial" w:hAnsi="Arial"/>
                <w:sz w:val="18"/>
                <w:szCs w:val="18"/>
                <w:color w:val="auto"/>
              </w:rPr>
              <w:t>34,917,535</w:t>
            </w:r>
          </w:p>
        </w:tc>
        <w:tc>
          <w:tcPr>
            <w:tcW w:w="1360" w:type="dxa"/>
            <w:vAlign w:val="bottom"/>
            <w:shd w:val="clear" w:color="auto" w:fill="CCEEFF"/>
          </w:tcPr>
          <w:p>
            <w:pPr>
              <w:jc w:val="right"/>
              <w:ind w:right="16"/>
              <w:spacing w:after="0" w:line="182" w:lineRule="exact"/>
              <w:rPr>
                <w:sz w:val="20"/>
                <w:szCs w:val="20"/>
                <w:color w:val="auto"/>
              </w:rPr>
            </w:pPr>
            <w:r>
              <w:rPr>
                <w:rFonts w:ascii="Arial" w:cs="Arial" w:eastAsia="Arial" w:hAnsi="Arial"/>
                <w:sz w:val="18"/>
                <w:szCs w:val="18"/>
                <w:color w:val="auto"/>
              </w:rPr>
              <w:t>675,000</w:t>
            </w:r>
          </w:p>
        </w:tc>
        <w:tc>
          <w:tcPr>
            <w:tcW w:w="1380" w:type="dxa"/>
            <w:vAlign w:val="bottom"/>
            <w:shd w:val="clear" w:color="auto" w:fill="CCEEFF"/>
          </w:tcPr>
          <w:p>
            <w:pPr>
              <w:jc w:val="right"/>
              <w:ind w:right="16"/>
              <w:spacing w:after="0" w:line="182" w:lineRule="exact"/>
              <w:rPr>
                <w:sz w:val="20"/>
                <w:szCs w:val="20"/>
                <w:color w:val="auto"/>
              </w:rPr>
            </w:pPr>
            <w:r>
              <w:rPr>
                <w:rFonts w:ascii="Arial" w:cs="Arial" w:eastAsia="Arial" w:hAnsi="Arial"/>
                <w:sz w:val="18"/>
                <w:szCs w:val="18"/>
                <w:color w:val="auto"/>
              </w:rPr>
              <w:t>8,550</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36,113,835</w:t>
            </w:r>
          </w:p>
        </w:tc>
        <w:tc>
          <w:tcPr>
            <w:tcW w:w="60" w:type="dxa"/>
            <w:vAlign w:val="bottom"/>
            <w:shd w:val="clear" w:color="auto" w:fill="CCEEFF"/>
          </w:tcPr>
          <w:p>
            <w:pPr>
              <w:spacing w:after="0"/>
              <w:rPr>
                <w:sz w:val="15"/>
                <w:szCs w:val="15"/>
                <w:color w:val="auto"/>
              </w:rPr>
            </w:pPr>
          </w:p>
        </w:tc>
      </w:tr>
      <w:tr>
        <w:trPr>
          <w:trHeight w:val="231"/>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Chief Executive Officer and Co-Founder</w:t>
            </w:r>
          </w:p>
        </w:tc>
        <w:tc>
          <w:tcPr>
            <w:tcW w:w="8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3"/>
        </w:trPr>
        <w:tc>
          <w:tcPr>
            <w:tcW w:w="35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2019</w:t>
            </w: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500,000</w:t>
            </w: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200,000</w:t>
            </w:r>
          </w:p>
        </w:tc>
        <w:tc>
          <w:tcPr>
            <w:tcW w:w="10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1,893,783</w:t>
            </w:r>
          </w:p>
        </w:tc>
        <w:tc>
          <w:tcPr>
            <w:tcW w:w="13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600,000</w:t>
            </w:r>
          </w:p>
        </w:tc>
        <w:tc>
          <w:tcPr>
            <w:tcW w:w="13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8,400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3,202,183</w:t>
            </w:r>
          </w:p>
        </w:tc>
        <w:tc>
          <w:tcPr>
            <w:tcW w:w="60" w:type="dxa"/>
            <w:vAlign w:val="bottom"/>
          </w:tcPr>
          <w:p>
            <w:pPr>
              <w:spacing w:after="0"/>
              <w:rPr>
                <w:sz w:val="17"/>
                <w:szCs w:val="17"/>
                <w:color w:val="auto"/>
              </w:rPr>
            </w:pPr>
          </w:p>
        </w:tc>
      </w:tr>
      <w:tr>
        <w:trPr>
          <w:trHeight w:val="188"/>
        </w:trPr>
        <w:tc>
          <w:tcPr>
            <w:tcW w:w="35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Eugene Nonko</w:t>
            </w:r>
          </w:p>
        </w:tc>
        <w:tc>
          <w:tcPr>
            <w:tcW w:w="840" w:type="dxa"/>
            <w:vAlign w:val="bottom"/>
            <w:shd w:val="clear" w:color="auto" w:fill="CCEEFF"/>
          </w:tcPr>
          <w:p>
            <w:pPr>
              <w:jc w:val="right"/>
              <w:ind w:right="12"/>
              <w:spacing w:after="0" w:line="188" w:lineRule="exact"/>
              <w:rPr>
                <w:sz w:val="20"/>
                <w:szCs w:val="20"/>
                <w:color w:val="auto"/>
              </w:rPr>
            </w:pPr>
            <w:r>
              <w:rPr>
                <w:rFonts w:ascii="Arial" w:cs="Arial" w:eastAsia="Arial" w:hAnsi="Arial"/>
                <w:sz w:val="18"/>
                <w:szCs w:val="18"/>
                <w:color w:val="auto"/>
              </w:rPr>
              <w:t>2020</w:t>
            </w:r>
          </w:p>
        </w:tc>
        <w:tc>
          <w:tcPr>
            <w:tcW w:w="860" w:type="dxa"/>
            <w:vAlign w:val="bottom"/>
            <w:shd w:val="clear" w:color="auto" w:fill="CCEEFF"/>
          </w:tcPr>
          <w:p>
            <w:pPr>
              <w:jc w:val="right"/>
              <w:ind w:right="37"/>
              <w:spacing w:after="0" w:line="188" w:lineRule="exact"/>
              <w:rPr>
                <w:sz w:val="20"/>
                <w:szCs w:val="20"/>
                <w:color w:val="auto"/>
              </w:rPr>
            </w:pPr>
            <w:r>
              <w:rPr>
                <w:rFonts w:ascii="Arial" w:cs="Arial" w:eastAsia="Arial" w:hAnsi="Arial"/>
                <w:sz w:val="18"/>
                <w:szCs w:val="18"/>
                <w:color w:val="auto"/>
              </w:rPr>
              <w:t>534,000</w:t>
            </w:r>
          </w:p>
        </w:tc>
        <w:tc>
          <w:tcPr>
            <w:tcW w:w="860" w:type="dxa"/>
            <w:vAlign w:val="bottom"/>
            <w:shd w:val="clear" w:color="auto" w:fill="CCEEFF"/>
          </w:tcPr>
          <w:p>
            <w:pPr>
              <w:jc w:val="right"/>
              <w:ind w:right="37"/>
              <w:spacing w:after="0" w:line="188"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line="188" w:lineRule="exact"/>
              <w:rPr>
                <w:sz w:val="20"/>
                <w:szCs w:val="20"/>
                <w:color w:val="auto"/>
              </w:rPr>
            </w:pPr>
            <w:r>
              <w:rPr>
                <w:rFonts w:ascii="Arial" w:cs="Arial" w:eastAsia="Arial" w:hAnsi="Arial"/>
                <w:sz w:val="18"/>
                <w:szCs w:val="18"/>
                <w:color w:val="auto"/>
              </w:rPr>
              <w:t>34,917,535</w:t>
            </w:r>
          </w:p>
        </w:tc>
        <w:tc>
          <w:tcPr>
            <w:tcW w:w="1360" w:type="dxa"/>
            <w:vAlign w:val="bottom"/>
            <w:shd w:val="clear" w:color="auto" w:fill="CCEEFF"/>
          </w:tcPr>
          <w:p>
            <w:pPr>
              <w:jc w:val="right"/>
              <w:ind w:right="16"/>
              <w:spacing w:after="0" w:line="188" w:lineRule="exact"/>
              <w:rPr>
                <w:sz w:val="20"/>
                <w:szCs w:val="20"/>
                <w:color w:val="auto"/>
              </w:rPr>
            </w:pPr>
            <w:r>
              <w:rPr>
                <w:rFonts w:ascii="Arial" w:cs="Arial" w:eastAsia="Arial" w:hAnsi="Arial"/>
                <w:sz w:val="18"/>
                <w:szCs w:val="18"/>
                <w:color w:val="auto"/>
              </w:rPr>
              <w:t>675,000</w:t>
            </w:r>
          </w:p>
        </w:tc>
        <w:tc>
          <w:tcPr>
            <w:tcW w:w="1380" w:type="dxa"/>
            <w:vAlign w:val="bottom"/>
            <w:shd w:val="clear" w:color="auto" w:fill="CCEEFF"/>
          </w:tcPr>
          <w:p>
            <w:pPr>
              <w:jc w:val="right"/>
              <w:ind w:right="16"/>
              <w:spacing w:after="0" w:line="188" w:lineRule="exact"/>
              <w:rPr>
                <w:sz w:val="20"/>
                <w:szCs w:val="20"/>
                <w:color w:val="auto"/>
              </w:rPr>
            </w:pPr>
            <w:r>
              <w:rPr>
                <w:rFonts w:ascii="Arial" w:cs="Arial" w:eastAsia="Arial" w:hAnsi="Arial"/>
                <w:sz w:val="18"/>
                <w:szCs w:val="18"/>
                <w:color w:val="auto"/>
              </w:rPr>
              <w:t>8,550</w:t>
            </w: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36,135,085</w:t>
            </w:r>
          </w:p>
        </w:tc>
        <w:tc>
          <w:tcPr>
            <w:tcW w:w="60" w:type="dxa"/>
            <w:vAlign w:val="bottom"/>
            <w:shd w:val="clear" w:color="auto" w:fill="CCEEFF"/>
          </w:tcPr>
          <w:p>
            <w:pPr>
              <w:spacing w:after="0"/>
              <w:rPr>
                <w:sz w:val="16"/>
                <w:szCs w:val="16"/>
                <w:color w:val="auto"/>
              </w:rPr>
            </w:pPr>
          </w:p>
        </w:tc>
      </w:tr>
      <w:tr>
        <w:trPr>
          <w:trHeight w:val="203"/>
        </w:trPr>
        <w:tc>
          <w:tcPr>
            <w:tcW w:w="3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i w:val="1"/>
                <w:iCs w:val="1"/>
                <w:color w:val="auto"/>
              </w:rPr>
              <w:t>Chief Technology Officer</w:t>
            </w: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1"/>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and Co-Founder</w:t>
            </w:r>
          </w:p>
        </w:tc>
        <w:tc>
          <w:tcPr>
            <w:tcW w:w="8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3"/>
        </w:trPr>
        <w:tc>
          <w:tcPr>
            <w:tcW w:w="35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2019</w:t>
            </w: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534,000</w:t>
            </w: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200,000</w:t>
            </w:r>
          </w:p>
        </w:tc>
        <w:tc>
          <w:tcPr>
            <w:tcW w:w="10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1,893,783</w:t>
            </w:r>
          </w:p>
        </w:tc>
        <w:tc>
          <w:tcPr>
            <w:tcW w:w="13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600,000</w:t>
            </w:r>
          </w:p>
        </w:tc>
        <w:tc>
          <w:tcPr>
            <w:tcW w:w="13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8,400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3,236,183</w:t>
            </w:r>
          </w:p>
        </w:tc>
        <w:tc>
          <w:tcPr>
            <w:tcW w:w="60" w:type="dxa"/>
            <w:vAlign w:val="bottom"/>
          </w:tcPr>
          <w:p>
            <w:pPr>
              <w:spacing w:after="0"/>
              <w:rPr>
                <w:sz w:val="17"/>
                <w:szCs w:val="17"/>
                <w:color w:val="auto"/>
              </w:rPr>
            </w:pPr>
          </w:p>
        </w:tc>
      </w:tr>
      <w:tr>
        <w:trPr>
          <w:trHeight w:val="188"/>
        </w:trPr>
        <w:tc>
          <w:tcPr>
            <w:tcW w:w="35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Tigran Sinanyan</w:t>
            </w:r>
          </w:p>
        </w:tc>
        <w:tc>
          <w:tcPr>
            <w:tcW w:w="840" w:type="dxa"/>
            <w:vAlign w:val="bottom"/>
            <w:shd w:val="clear" w:color="auto" w:fill="CCEEFF"/>
          </w:tcPr>
          <w:p>
            <w:pPr>
              <w:jc w:val="right"/>
              <w:ind w:right="12"/>
              <w:spacing w:after="0" w:line="188" w:lineRule="exact"/>
              <w:rPr>
                <w:sz w:val="20"/>
                <w:szCs w:val="20"/>
                <w:color w:val="auto"/>
              </w:rPr>
            </w:pPr>
            <w:r>
              <w:rPr>
                <w:rFonts w:ascii="Arial" w:cs="Arial" w:eastAsia="Arial" w:hAnsi="Arial"/>
                <w:sz w:val="18"/>
                <w:szCs w:val="18"/>
                <w:color w:val="auto"/>
              </w:rPr>
              <w:t>2020</w:t>
            </w:r>
          </w:p>
        </w:tc>
        <w:tc>
          <w:tcPr>
            <w:tcW w:w="860" w:type="dxa"/>
            <w:vAlign w:val="bottom"/>
            <w:shd w:val="clear" w:color="auto" w:fill="CCEEFF"/>
          </w:tcPr>
          <w:p>
            <w:pPr>
              <w:jc w:val="right"/>
              <w:ind w:right="37"/>
              <w:spacing w:after="0" w:line="188" w:lineRule="exact"/>
              <w:rPr>
                <w:sz w:val="20"/>
                <w:szCs w:val="20"/>
                <w:color w:val="auto"/>
              </w:rPr>
            </w:pPr>
            <w:r>
              <w:rPr>
                <w:rFonts w:ascii="Arial" w:cs="Arial" w:eastAsia="Arial" w:hAnsi="Arial"/>
                <w:sz w:val="18"/>
                <w:szCs w:val="18"/>
                <w:color w:val="auto"/>
              </w:rPr>
              <w:t>350,000</w:t>
            </w:r>
          </w:p>
        </w:tc>
        <w:tc>
          <w:tcPr>
            <w:tcW w:w="860" w:type="dxa"/>
            <w:vAlign w:val="bottom"/>
            <w:shd w:val="clear" w:color="auto" w:fill="CCEEFF"/>
          </w:tcPr>
          <w:p>
            <w:pPr>
              <w:jc w:val="right"/>
              <w:ind w:right="37"/>
              <w:spacing w:after="0" w:line="188" w:lineRule="exact"/>
              <w:rPr>
                <w:sz w:val="20"/>
                <w:szCs w:val="20"/>
                <w:color w:val="auto"/>
              </w:rPr>
            </w:pPr>
            <w:r>
              <w:rPr>
                <w:rFonts w:ascii="Arial" w:cs="Arial" w:eastAsia="Arial" w:hAnsi="Arial"/>
                <w:sz w:val="18"/>
                <w:szCs w:val="18"/>
                <w:color w:val="auto"/>
              </w:rPr>
              <w:t>200,000</w:t>
            </w:r>
          </w:p>
        </w:tc>
        <w:tc>
          <w:tcPr>
            <w:tcW w:w="1080" w:type="dxa"/>
            <w:vAlign w:val="bottom"/>
            <w:shd w:val="clear" w:color="auto" w:fill="CCEEFF"/>
          </w:tcPr>
          <w:p>
            <w:pPr>
              <w:jc w:val="right"/>
              <w:ind w:right="16"/>
              <w:spacing w:after="0" w:line="188" w:lineRule="exact"/>
              <w:rPr>
                <w:sz w:val="20"/>
                <w:szCs w:val="20"/>
                <w:color w:val="auto"/>
              </w:rPr>
            </w:pPr>
            <w:r>
              <w:rPr>
                <w:rFonts w:ascii="Arial" w:cs="Arial" w:eastAsia="Arial" w:hAnsi="Arial"/>
                <w:sz w:val="18"/>
                <w:szCs w:val="18"/>
                <w:color w:val="auto"/>
              </w:rPr>
              <w:t>2,083,272</w:t>
            </w:r>
          </w:p>
        </w:tc>
        <w:tc>
          <w:tcPr>
            <w:tcW w:w="1360" w:type="dxa"/>
            <w:vAlign w:val="bottom"/>
            <w:shd w:val="clear" w:color="auto" w:fill="CCEEFF"/>
          </w:tcPr>
          <w:p>
            <w:pPr>
              <w:jc w:val="right"/>
              <w:ind w:right="16"/>
              <w:spacing w:after="0" w:line="188" w:lineRule="exact"/>
              <w:rPr>
                <w:sz w:val="20"/>
                <w:szCs w:val="20"/>
                <w:color w:val="auto"/>
              </w:rPr>
            </w:pPr>
            <w:r>
              <w:rPr>
                <w:rFonts w:ascii="Arial" w:cs="Arial" w:eastAsia="Arial" w:hAnsi="Arial"/>
                <w:sz w:val="18"/>
                <w:szCs w:val="18"/>
                <w:color w:val="auto"/>
              </w:rPr>
              <w:t>270,000</w:t>
            </w:r>
          </w:p>
        </w:tc>
        <w:tc>
          <w:tcPr>
            <w:tcW w:w="1380" w:type="dxa"/>
            <w:vAlign w:val="bottom"/>
            <w:shd w:val="clear" w:color="auto" w:fill="CCEEFF"/>
          </w:tcPr>
          <w:p>
            <w:pPr>
              <w:jc w:val="right"/>
              <w:ind w:right="16"/>
              <w:spacing w:after="0" w:line="188" w:lineRule="exact"/>
              <w:rPr>
                <w:sz w:val="20"/>
                <w:szCs w:val="20"/>
                <w:color w:val="auto"/>
              </w:rPr>
            </w:pPr>
            <w:r>
              <w:rPr>
                <w:rFonts w:ascii="Arial" w:cs="Arial" w:eastAsia="Arial" w:hAnsi="Arial"/>
                <w:sz w:val="18"/>
                <w:szCs w:val="18"/>
                <w:color w:val="auto"/>
              </w:rPr>
              <w:t>8,550</w:t>
            </w: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2,911,822</w:t>
            </w:r>
          </w:p>
        </w:tc>
        <w:tc>
          <w:tcPr>
            <w:tcW w:w="60" w:type="dxa"/>
            <w:vAlign w:val="bottom"/>
            <w:shd w:val="clear" w:color="auto" w:fill="CCEEFF"/>
          </w:tcPr>
          <w:p>
            <w:pPr>
              <w:spacing w:after="0"/>
              <w:rPr>
                <w:sz w:val="16"/>
                <w:szCs w:val="16"/>
                <w:color w:val="auto"/>
              </w:rPr>
            </w:pPr>
          </w:p>
        </w:tc>
      </w:tr>
      <w:tr>
        <w:trPr>
          <w:trHeight w:val="231"/>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8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5"/>
        </w:trPr>
        <w:tc>
          <w:tcPr>
            <w:tcW w:w="3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300,000</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75,000</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235,365</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240,000</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57,847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908,212</w:t>
            </w:r>
          </w:p>
        </w:tc>
        <w:tc>
          <w:tcPr>
            <w:tcW w:w="60" w:type="dxa"/>
            <w:vAlign w:val="bottom"/>
          </w:tcPr>
          <w:p>
            <w:pPr>
              <w:spacing w:after="0"/>
              <w:rPr>
                <w:sz w:val="18"/>
                <w:szCs w:val="18"/>
                <w:color w:val="auto"/>
              </w:rPr>
            </w:pPr>
          </w:p>
        </w:tc>
      </w:tr>
    </w:tbl>
    <w:p>
      <w:pPr>
        <w:spacing w:after="0" w:line="53"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Salary amounts shown above represent actual salary earned during the year, reported as gross earnings (</w:t>
      </w:r>
      <w:r>
        <w:rPr>
          <w:rFonts w:ascii="Arial" w:cs="Arial" w:eastAsia="Arial" w:hAnsi="Arial"/>
          <w:sz w:val="13"/>
          <w:szCs w:val="13"/>
          <w:i w:val="1"/>
          <w:iCs w:val="1"/>
          <w:color w:val="auto"/>
        </w:rPr>
        <w:t>i.e.</w:t>
      </w:r>
      <w:r>
        <w:rPr>
          <w:rFonts w:ascii="Arial" w:cs="Arial" w:eastAsia="Arial" w:hAnsi="Arial"/>
          <w:sz w:val="13"/>
          <w:szCs w:val="13"/>
          <w:color w:val="auto"/>
        </w:rPr>
        <w:t>, gross amounts before taxes and applicable payroll deductions).</w:t>
      </w:r>
    </w:p>
    <w:p>
      <w:pPr>
        <w:spacing w:after="0" w:line="80" w:lineRule="exact"/>
        <w:rPr>
          <w:rFonts w:ascii="Arial" w:cs="Arial" w:eastAsia="Arial" w:hAnsi="Arial"/>
          <w:sz w:val="13"/>
          <w:szCs w:val="13"/>
          <w:color w:val="auto"/>
        </w:rPr>
      </w:pPr>
    </w:p>
    <w:p>
      <w:pPr>
        <w:ind w:left="440" w:right="40" w:hanging="324"/>
        <w:spacing w:after="0" w:line="245" w:lineRule="auto"/>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 Mr. Sinanyan, reflects the portion of 2020 annual cash bonus awarded for successful completion of our IPO, determined in the discretion of our Compensation Committee. The remaining portion of the NEO’s 2020 annual cash bonus was tied to achievement of Company performance metrics for 2020 and is reported in the “Nonequity incentive plan compensation” column and described in footnote (4) below. Annual cash bonuses for 2020 performance will be paid in early 2021. Amounts in this column are reported as gross earnings (</w:t>
      </w:r>
      <w:r>
        <w:rPr>
          <w:rFonts w:ascii="Arial" w:cs="Arial" w:eastAsia="Arial" w:hAnsi="Arial"/>
          <w:sz w:val="13"/>
          <w:szCs w:val="13"/>
          <w:i w:val="1"/>
          <w:iCs w:val="1"/>
          <w:color w:val="auto"/>
        </w:rPr>
        <w:t>i.e.</w:t>
      </w:r>
      <w:r>
        <w:rPr>
          <w:rFonts w:ascii="Arial" w:cs="Arial" w:eastAsia="Arial" w:hAnsi="Arial"/>
          <w:sz w:val="13"/>
          <w:szCs w:val="13"/>
          <w:color w:val="auto"/>
        </w:rPr>
        <w:t>, gross amounts before taxes and applicable payroll deductions).</w:t>
      </w:r>
    </w:p>
    <w:p>
      <w:pPr>
        <w:spacing w:after="0" w:line="51" w:lineRule="exact"/>
        <w:rPr>
          <w:rFonts w:ascii="Arial" w:cs="Arial" w:eastAsia="Arial" w:hAnsi="Arial"/>
          <w:sz w:val="13"/>
          <w:szCs w:val="13"/>
          <w:color w:val="auto"/>
        </w:rPr>
      </w:pPr>
    </w:p>
    <w:p>
      <w:pPr>
        <w:ind w:left="440" w:right="300" w:hanging="324"/>
        <w:spacing w:after="0" w:line="238" w:lineRule="auto"/>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amounts in this column reflect the aggregate grant date fair value of time-vesting restricted stock units (“RSUs”) and Class B-1 units of QL Holdings LLC granted in fiscal 2020, computed in accordance with Accounting Standards Codification topic 718 as issued by the Financial Accounting Standards Board. For a description of the assumptions</w:t>
      </w:r>
    </w:p>
    <w:p>
      <w:pPr>
        <w:ind w:left="440" w:right="140"/>
        <w:spacing w:after="0" w:line="258" w:lineRule="auto"/>
        <w:rPr>
          <w:rFonts w:ascii="Arial" w:cs="Arial" w:eastAsia="Arial" w:hAnsi="Arial"/>
          <w:sz w:val="13"/>
          <w:szCs w:val="13"/>
          <w:color w:val="auto"/>
        </w:rPr>
      </w:pPr>
      <w:r>
        <w:rPr>
          <w:rFonts w:ascii="Arial" w:cs="Arial" w:eastAsia="Arial" w:hAnsi="Arial"/>
          <w:sz w:val="13"/>
          <w:szCs w:val="13"/>
          <w:color w:val="auto"/>
        </w:rPr>
        <w:t>used to determine the compensation cost of these awards, see note [ ] to the audited financial statements included elsewhere in this prospectus. For Mr. Sinayan, the stock awards for 2020 also include the grant of Class B-1 units of QL Holdings LLC which were received in exchange of Profits Interest Units (defined below) in the IPO reorganization.</w:t>
      </w:r>
    </w:p>
    <w:p>
      <w:pPr>
        <w:spacing w:after="0" w:line="43" w:lineRule="exact"/>
        <w:rPr>
          <w:rFonts w:ascii="Arial" w:cs="Arial" w:eastAsia="Arial" w:hAnsi="Arial"/>
          <w:sz w:val="13"/>
          <w:szCs w:val="13"/>
          <w:color w:val="auto"/>
        </w:rPr>
      </w:pPr>
    </w:p>
    <w:p>
      <w:pPr>
        <w:jc w:val="both"/>
        <w:ind w:left="440" w:right="280" w:hanging="324"/>
        <w:spacing w:after="0" w:line="248" w:lineRule="auto"/>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 each NEO, reflects the portion of 2020 annual cash bonus earned in respect of superior achievement of the Company’s performance goal for 2020, as described under “— Elements of executive compensation—Annual cash bonuses” below. Such amounts were earned at 135% of target. Annual cash bonuses for 2020 performance will be paid in early 2021. Amounts in this column are reported as gross earnings (</w:t>
      </w:r>
      <w:r>
        <w:rPr>
          <w:rFonts w:ascii="Arial" w:cs="Arial" w:eastAsia="Arial" w:hAnsi="Arial"/>
          <w:sz w:val="13"/>
          <w:szCs w:val="13"/>
          <w:i w:val="1"/>
          <w:iCs w:val="1"/>
          <w:color w:val="auto"/>
        </w:rPr>
        <w:t>i.e.</w:t>
      </w:r>
      <w:r>
        <w:rPr>
          <w:rFonts w:ascii="Arial" w:cs="Arial" w:eastAsia="Arial" w:hAnsi="Arial"/>
          <w:sz w:val="13"/>
          <w:szCs w:val="13"/>
          <w:color w:val="auto"/>
        </w:rPr>
        <w:t>, gross amounts before taxes and applicable payroll deductions).</w:t>
      </w:r>
    </w:p>
    <w:p>
      <w:pPr>
        <w:spacing w:after="0" w:line="49" w:lineRule="exact"/>
        <w:rPr>
          <w:rFonts w:ascii="Arial" w:cs="Arial" w:eastAsia="Arial" w:hAnsi="Arial"/>
          <w:sz w:val="13"/>
          <w:szCs w:val="13"/>
          <w:color w:val="auto"/>
        </w:rPr>
      </w:pPr>
    </w:p>
    <w:p>
      <w:pPr>
        <w:ind w:left="440" w:hanging="324"/>
        <w:spacing w:after="0"/>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Reflects, for each NEO, $8,550 of matching contributions under our 401(k) plan made in respect of fiscal 2020.</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2020 fiscal year-end</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outstanding equity compensation awards held as of December 31, 2020 by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Market value of</w:t>
            </w:r>
          </w:p>
        </w:tc>
      </w:tr>
      <w:tr>
        <w:trPr>
          <w:trHeight w:val="203"/>
        </w:trPr>
        <w:tc>
          <w:tcPr>
            <w:tcW w:w="38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Number of</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shares or</w:t>
            </w:r>
          </w:p>
        </w:tc>
      </w:tr>
      <w:tr>
        <w:trPr>
          <w:trHeight w:val="203"/>
        </w:trPr>
        <w:tc>
          <w:tcPr>
            <w:tcW w:w="38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shares or units</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units</w:t>
            </w:r>
          </w:p>
        </w:tc>
      </w:tr>
      <w:tr>
        <w:trPr>
          <w:trHeight w:val="203"/>
        </w:trPr>
        <w:tc>
          <w:tcPr>
            <w:tcW w:w="38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that have not</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that have not</w:t>
            </w:r>
          </w:p>
        </w:tc>
      </w:tr>
      <w:tr>
        <w:trPr>
          <w:trHeight w:val="22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Award Type</w:t>
            </w:r>
          </w:p>
        </w:tc>
        <w:tc>
          <w:tcPr>
            <w:tcW w:w="1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vested (#)</w:t>
            </w:r>
            <w:r>
              <w:rPr>
                <w:rFonts w:ascii="Arial" w:cs="Arial" w:eastAsia="Arial" w:hAnsi="Arial"/>
                <w:sz w:val="11"/>
                <w:szCs w:val="11"/>
                <w:b w:val="1"/>
                <w:bCs w:val="1"/>
                <w:color w:val="auto"/>
              </w:rPr>
              <w:t>(1)</w:t>
            </w: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vested ($)</w:t>
            </w:r>
            <w:r>
              <w:rPr>
                <w:rFonts w:ascii="Arial" w:cs="Arial" w:eastAsia="Arial" w:hAnsi="Arial"/>
                <w:sz w:val="11"/>
                <w:szCs w:val="11"/>
                <w:b w:val="1"/>
                <w:bCs w:val="1"/>
                <w:color w:val="auto"/>
              </w:rPr>
              <w:t>(3)</w:t>
            </w: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Steven Yi</w:t>
            </w:r>
          </w:p>
        </w:tc>
        <w:tc>
          <w:tcPr>
            <w:tcW w:w="38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RSUs</w:t>
            </w:r>
          </w:p>
        </w:tc>
        <w:tc>
          <w:tcPr>
            <w:tcW w:w="180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1,837,765</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72,444,696</w:t>
            </w:r>
          </w:p>
        </w:tc>
        <w:tc>
          <w:tcPr>
            <w:tcW w:w="60" w:type="dxa"/>
            <w:vAlign w:val="bottom"/>
            <w:shd w:val="clear" w:color="auto" w:fill="CCEEFF"/>
          </w:tcPr>
          <w:p>
            <w:pPr>
              <w:spacing w:after="0"/>
              <w:rPr>
                <w:sz w:val="17"/>
                <w:szCs w:val="17"/>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Eugene Nonko</w:t>
            </w:r>
          </w:p>
        </w:tc>
        <w:tc>
          <w:tcPr>
            <w:tcW w:w="3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RSUs</w:t>
            </w:r>
          </w:p>
        </w:tc>
        <w:tc>
          <w:tcPr>
            <w:tcW w:w="18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1,837,765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72,444,696</w:t>
            </w:r>
          </w:p>
        </w:tc>
        <w:tc>
          <w:tcPr>
            <w:tcW w:w="6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Tigran Sinanyan</w:t>
            </w:r>
          </w:p>
        </w:tc>
        <w:tc>
          <w:tcPr>
            <w:tcW w:w="3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RSUs</w:t>
            </w:r>
          </w:p>
        </w:tc>
        <w:tc>
          <w:tcPr>
            <w:tcW w:w="18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91,888</w:t>
            </w: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3,622,225</w:t>
            </w:r>
          </w:p>
        </w:tc>
      </w:tr>
      <w:tr>
        <w:trPr>
          <w:trHeight w:val="203"/>
        </w:trPr>
        <w:tc>
          <w:tcPr>
            <w:tcW w:w="3800" w:type="dxa"/>
            <w:vAlign w:val="bottom"/>
          </w:tcPr>
          <w:p>
            <w:pPr>
              <w:spacing w:after="0"/>
              <w:rPr>
                <w:sz w:val="17"/>
                <w:szCs w:val="17"/>
                <w:color w:val="auto"/>
              </w:rPr>
            </w:pPr>
          </w:p>
        </w:tc>
        <w:tc>
          <w:tcPr>
            <w:tcW w:w="3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Class B-1 units</w:t>
            </w:r>
          </w:p>
        </w:tc>
        <w:tc>
          <w:tcPr>
            <w:tcW w:w="1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76,190</w:t>
            </w:r>
            <w:r>
              <w:rPr>
                <w:rFonts w:ascii="Arial" w:cs="Arial" w:eastAsia="Arial" w:hAnsi="Arial"/>
                <w:sz w:val="11"/>
                <w:szCs w:val="11"/>
                <w:color w:val="auto"/>
              </w:rPr>
              <w:t>(2)</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3,003,410</w:t>
            </w:r>
          </w:p>
        </w:tc>
      </w:tr>
      <w:tr>
        <w:trPr>
          <w:trHeight w:val="203"/>
        </w:trPr>
        <w:tc>
          <w:tcPr>
            <w:tcW w:w="3800" w:type="dxa"/>
            <w:vAlign w:val="bottom"/>
            <w:shd w:val="clear" w:color="auto" w:fill="CCEEFF"/>
          </w:tcPr>
          <w:p>
            <w:pPr>
              <w:spacing w:after="0"/>
              <w:rPr>
                <w:sz w:val="17"/>
                <w:szCs w:val="17"/>
                <w:color w:val="auto"/>
              </w:rPr>
            </w:pPr>
          </w:p>
        </w:tc>
        <w:tc>
          <w:tcPr>
            <w:tcW w:w="3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Class B-1 units</w:t>
            </w:r>
          </w:p>
        </w:tc>
        <w:tc>
          <w:tcPr>
            <w:tcW w:w="1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29,507</w:t>
            </w:r>
            <w:r>
              <w:rPr>
                <w:rFonts w:ascii="Arial" w:cs="Arial" w:eastAsia="Arial" w:hAnsi="Arial"/>
                <w:sz w:val="11"/>
                <w:szCs w:val="11"/>
                <w:color w:val="auto"/>
              </w:rPr>
              <w:t>(2)</w:t>
            </w: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1,163,166</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120" w:hanging="324"/>
        <w:spacing w:after="0" w:line="258"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the number of unvested time-vesting RSUs held, directly or indirectly, by the NEOs as of December 31, 2020. Each NEO’s RSU award vests quarterly over the first three years following the grant date, beginning October 27, 2020 and ending on October 28, 2023, subject to continued employment or service with us through each vesting date.</w:t>
      </w:r>
    </w:p>
    <w:p>
      <w:pPr>
        <w:spacing w:after="0" w:line="43" w:lineRule="exact"/>
        <w:rPr>
          <w:rFonts w:ascii="Arial" w:cs="Arial" w:eastAsia="Arial" w:hAnsi="Arial"/>
          <w:sz w:val="13"/>
          <w:szCs w:val="13"/>
          <w:color w:val="auto"/>
        </w:rPr>
      </w:pPr>
    </w:p>
    <w:p>
      <w:pPr>
        <w:ind w:left="440" w:right="80" w:hanging="324"/>
        <w:spacing w:after="0" w:line="242"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the number of Class B-1 units of QL Holdings LLC, held, directly or indirectly, as of December 31, 2020, which were received in exchange of Profits Interest Units in the IPO reorganization. As per the original award terms, all unvested Profits Interest Units were exchanged into Class B-1 units of QL Holdings LLC. The terms of Class B-1 units are described below. 25% of the Class B-1 units granted March 25, 2019 vested on April 1, 2020, which was the first anniversary of the vesting commencement date, and the remaining 75% vest ratably each month over the following 36 months (i.e., beginning on May 1, 2020 and ending on April 1, 2023). 25% of Class B-1 units granted August 6, 2020 will vest on August 31, 2021, the first anniversary of the vesting commencement date, and the remaining 75% will vest ratably each month over the following 36 months (i.e., beginning on September 31, 2021 and ending on August 31, 2024).</w:t>
      </w:r>
    </w:p>
    <w:p>
      <w:pPr>
        <w:spacing w:after="0" w:line="54"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value is based on $39.42, the closing price of the Company’s common stock on December 31, 2020.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Elements of executive compensation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For fiscal year 2020, the relative levels of base salary for our NEOs are designed to reflect each NEO’s scope of responsibility, and in the case of Messrs. Yi and Nonko, reflect the base salary rates agreed to under their respective employment agreements, described below. See the “Salary” column of Summary compensation table for fiscal years 2019 and 2020, above, for the base salary amounts received by each NEO in fiscal 2020.</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24"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Annual bonus compensation holds executives accountable, rewards the executives based on actual business results and helps create a “pay for performance” culture. The employment agreements for each of Messrs. Yi and Nonko provide that the executive is eligible for an annual target bonus opportunity of 100% of his base salary upon the attainment of one or more pre-established performance goals established by the Board of Directors or the Compensation Committee, in consultation with the executive. Any earned annual bonuses are generally payable as a lump sum during the calendar year following the calendar year with respect to which it is earned following completion of the annual audit of financial statements, unless otherwise approved by the Board of Directors or the Compensation Committee.</w:t>
      </w:r>
    </w:p>
    <w:p>
      <w:pPr>
        <w:spacing w:after="0" w:line="7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2020, each NEO was granted a target bonus opportunity that would be payable upon achievement of our annual Adjusted EBITDA target, as defined in “Summary consolidated financial and operating data.” In light of achievement of the Adjusted EBITDA target for 2020, each NEO was awarded a cash bonus equal to 135% of the executive’s target bonus. Additionally, Mr. Sinanyan was awarded a discretionary amount for successful</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completion of our IPO in respect of 2020 performance, which will be paid in early 2021. The following chart shows, for 2020, each NEO’s target bonus opportunity, earned bonus based on Adjusted EBITDA achievement, and additional bonus awarded to Mr. Sinanyan for successful completion of our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Bonus earned</w:t>
            </w:r>
          </w:p>
        </w:tc>
        <w:tc>
          <w:tcPr>
            <w:tcW w:w="1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for Adjusted</w:t>
            </w:r>
          </w:p>
        </w:tc>
        <w:tc>
          <w:tcPr>
            <w:tcW w:w="1660" w:type="dxa"/>
            <w:vAlign w:val="bottom"/>
          </w:tcPr>
          <w:p>
            <w:pPr>
              <w:jc w:val="right"/>
              <w:ind w:right="177"/>
              <w:spacing w:after="0" w:line="202" w:lineRule="exact"/>
              <w:rPr>
                <w:sz w:val="20"/>
                <w:szCs w:val="20"/>
                <w:color w:val="auto"/>
              </w:rPr>
            </w:pPr>
            <w:r>
              <w:rPr>
                <w:rFonts w:ascii="Arial" w:cs="Arial" w:eastAsia="Arial" w:hAnsi="Arial"/>
                <w:sz w:val="18"/>
                <w:szCs w:val="18"/>
                <w:b w:val="1"/>
                <w:bCs w:val="1"/>
                <w:color w:val="auto"/>
              </w:rPr>
              <w:t>Bonus for</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EBITDA</w:t>
            </w:r>
          </w:p>
        </w:tc>
        <w:tc>
          <w:tcPr>
            <w:tcW w:w="1660" w:type="dxa"/>
            <w:vAlign w:val="bottom"/>
          </w:tcPr>
          <w:p>
            <w:pPr>
              <w:jc w:val="right"/>
              <w:ind w:right="177"/>
              <w:spacing w:after="0" w:line="202" w:lineRule="exact"/>
              <w:rPr>
                <w:sz w:val="20"/>
                <w:szCs w:val="20"/>
                <w:color w:val="auto"/>
              </w:rPr>
            </w:pPr>
            <w:r>
              <w:rPr>
                <w:rFonts w:ascii="Arial" w:cs="Arial" w:eastAsia="Arial" w:hAnsi="Arial"/>
                <w:sz w:val="18"/>
                <w:szCs w:val="18"/>
                <w:b w:val="1"/>
                <w:bCs w:val="1"/>
                <w:color w:val="auto"/>
              </w:rPr>
              <w:t>successful</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31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2020</w:t>
            </w:r>
          </w:p>
        </w:tc>
        <w:tc>
          <w:tcPr>
            <w:tcW w:w="16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achievement</w:t>
            </w:r>
          </w:p>
        </w:tc>
        <w:tc>
          <w:tcPr>
            <w:tcW w:w="1660" w:type="dxa"/>
            <w:vAlign w:val="bottom"/>
          </w:tcPr>
          <w:p>
            <w:pPr>
              <w:jc w:val="right"/>
              <w:ind w:right="177"/>
              <w:spacing w:after="0" w:line="202" w:lineRule="exact"/>
              <w:rPr>
                <w:sz w:val="20"/>
                <w:szCs w:val="20"/>
                <w:color w:val="auto"/>
              </w:rPr>
            </w:pPr>
            <w:r>
              <w:rPr>
                <w:rFonts w:ascii="Arial" w:cs="Arial" w:eastAsia="Arial" w:hAnsi="Arial"/>
                <w:sz w:val="18"/>
                <w:szCs w:val="18"/>
                <w:b w:val="1"/>
                <w:bCs w:val="1"/>
                <w:color w:val="auto"/>
              </w:rPr>
              <w:t>completion of</w:t>
            </w: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Total 2020</w:t>
            </w:r>
          </w:p>
        </w:tc>
      </w:tr>
      <w:tr>
        <w:trPr>
          <w:trHeight w:val="203"/>
        </w:trPr>
        <w:tc>
          <w:tcPr>
            <w:tcW w:w="2940" w:type="dxa"/>
            <w:vAlign w:val="bottom"/>
          </w:tcPr>
          <w:p>
            <w:pPr>
              <w:spacing w:after="0"/>
              <w:rPr>
                <w:sz w:val="17"/>
                <w:szCs w:val="17"/>
                <w:color w:val="auto"/>
              </w:rPr>
            </w:pPr>
          </w:p>
        </w:tc>
        <w:tc>
          <w:tcPr>
            <w:tcW w:w="31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target bonus</w:t>
            </w:r>
          </w:p>
        </w:tc>
        <w:tc>
          <w:tcPr>
            <w:tcW w:w="16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(135% target)</w:t>
            </w:r>
          </w:p>
        </w:tc>
        <w:tc>
          <w:tcPr>
            <w:tcW w:w="1660" w:type="dxa"/>
            <w:vAlign w:val="bottom"/>
          </w:tcPr>
          <w:p>
            <w:pPr>
              <w:jc w:val="right"/>
              <w:ind w:right="177"/>
              <w:spacing w:after="0" w:line="202" w:lineRule="exact"/>
              <w:rPr>
                <w:sz w:val="20"/>
                <w:szCs w:val="20"/>
                <w:color w:val="auto"/>
              </w:rPr>
            </w:pPr>
            <w:r>
              <w:rPr>
                <w:rFonts w:ascii="Arial" w:cs="Arial" w:eastAsia="Arial" w:hAnsi="Arial"/>
                <w:sz w:val="18"/>
                <w:szCs w:val="18"/>
                <w:b w:val="1"/>
                <w:bCs w:val="1"/>
                <w:color w:val="auto"/>
              </w:rPr>
              <w:t>IPO</w:t>
            </w: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bonus payment</w:t>
            </w:r>
          </w:p>
        </w:tc>
      </w:tr>
      <w:tr>
        <w:trPr>
          <w:trHeight w:val="235"/>
        </w:trPr>
        <w:tc>
          <w:tcPr>
            <w:tcW w:w="29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opportunity ($)</w:t>
            </w: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1"/>
                <w:szCs w:val="11"/>
                <w:b w:val="1"/>
                <w:bCs w:val="1"/>
                <w:color w:val="auto"/>
              </w:rPr>
              <w:t>(1)</w:t>
            </w:r>
          </w:p>
        </w:tc>
        <w:tc>
          <w:tcPr>
            <w:tcW w:w="1660" w:type="dxa"/>
            <w:vAlign w:val="bottom"/>
            <w:tcBorders>
              <w:bottom w:val="single" w:sz="8" w:color="auto"/>
            </w:tcBorders>
          </w:tcPr>
          <w:p>
            <w:pPr>
              <w:jc w:val="right"/>
              <w:ind w:right="177"/>
              <w:spacing w:after="0" w:line="235"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(2)</w:t>
            </w: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r>
      <w:tr>
        <w:trPr>
          <w:trHeight w:val="196"/>
        </w:trPr>
        <w:tc>
          <w:tcPr>
            <w:tcW w:w="2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Steven Yi</w:t>
            </w:r>
          </w:p>
        </w:tc>
        <w:tc>
          <w:tcPr>
            <w:tcW w:w="31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500,000</w:t>
            </w:r>
          </w:p>
        </w:tc>
        <w:tc>
          <w:tcPr>
            <w:tcW w:w="16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675,000</w:t>
            </w:r>
          </w:p>
        </w:tc>
        <w:tc>
          <w:tcPr>
            <w:tcW w:w="1660" w:type="dxa"/>
            <w:vAlign w:val="bottom"/>
            <w:shd w:val="clear" w:color="auto" w:fill="CCEEFF"/>
          </w:tcPr>
          <w:p>
            <w:pPr>
              <w:jc w:val="right"/>
              <w:ind w:right="177"/>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675,000</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Eugene Nonko</w:t>
            </w:r>
          </w:p>
        </w:tc>
        <w:tc>
          <w:tcPr>
            <w:tcW w:w="31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500,000</w:t>
            </w:r>
          </w:p>
        </w:tc>
        <w:tc>
          <w:tcPr>
            <w:tcW w:w="16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675,000</w:t>
            </w:r>
          </w:p>
        </w:tc>
        <w:tc>
          <w:tcPr>
            <w:tcW w:w="166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675,000</w:t>
            </w: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Tigran Sinanyan</w:t>
            </w:r>
          </w:p>
        </w:tc>
        <w:tc>
          <w:tcPr>
            <w:tcW w:w="31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200,000</w:t>
            </w:r>
          </w:p>
        </w:tc>
        <w:tc>
          <w:tcPr>
            <w:tcW w:w="16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270,000</w:t>
            </w:r>
          </w:p>
        </w:tc>
        <w:tc>
          <w:tcPr>
            <w:tcW w:w="166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200,000</w:t>
            </w:r>
          </w:p>
        </w:tc>
        <w:tc>
          <w:tcPr>
            <w:tcW w:w="1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470,000</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160" w:hanging="324"/>
        <w:spacing w:after="0" w:line="258" w:lineRule="auto"/>
        <w:tabs>
          <w:tab w:leader="none" w:pos="4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Bonuses earned for Adjusted EBITDA achievement are shown in the “Non-equity incentive plan compensation” column of the Summary compensation table for fiscal years 2019 and 2020 above.</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Bonuses awarded for successful completion of our IPO are shown in the “Bonus” column of the Summary compensation table for fiscal years 2019 and 2020 above.</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Yi and Nonko employment agreements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2020, in connection with the IPO, the Company and QuoteLab, LLC entered into amended and restated employment agreements with Messrs. Yi and Nonko, in light of the scope and complexity of their public company roles and job responsibilities as the leaders of our business. The amended and restated employment agreements provide for compensation and severance levels that take into account the competitive market assessment prepared by the compensation consultant engaged by our Board of Directors, Compensia Inc. (“Compensia”). The executive’s employment agreement sets forth his base salary and target annual bonus (equal to 100% of base salary), and provides for eligibility to participate in our employee benefit plans generally. See “—Summary compensation table for fiscal years 2019 and 2020” above for information on base salaries and annual bonuses paid to our NEOs in respect of fiscal 2020. The executive’s annual base salary rate will be reviewed annually, and may be increased but not decreased.</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Under the employment agreements, upon a termination of employment for any reason, the executive will be entitled to any earned but unpaid amounts, including a base salary through the date of termination; an annual bonus for any fiscal year preceding the fiscal year in which termination occurs, payable on the date bonuses are paid to our other senior executives; any unreimbursed business expenses incurred through the date of termination; any accrued but unused vacation time; and any other amounts or benefits required to be paid or provided either by law or under any employer plan or program (collectively, the “Accrued Obligations”).</w:t>
      </w:r>
    </w:p>
    <w:p>
      <w:pPr>
        <w:spacing w:after="0" w:line="10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If the executive’s employment is terminated by us without “cause” or by the executive for “good reason” (as such terms are defined in the employment agreement and described below), the executive will additionally be entitled to the following, subject to his delivery of a release of claims in favor of the Company and its affiliates and his material compliance with certain noncompetition, nonsolicitation and other restrictive covenants set forth in his amended employment agreement:</w:t>
      </w:r>
    </w:p>
    <w:p>
      <w:pPr>
        <w:spacing w:after="0" w:line="114" w:lineRule="exact"/>
        <w:rPr>
          <w:sz w:val="20"/>
          <w:szCs w:val="20"/>
          <w:color w:val="auto"/>
        </w:rPr>
      </w:pPr>
    </w:p>
    <w:p>
      <w:pPr>
        <w:ind w:left="980" w:hanging="432"/>
        <w:spacing w:after="0"/>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cash severance equal to 18 months’ base salary, at the rate in effect at the time of termination;</w:t>
      </w:r>
    </w:p>
    <w:p>
      <w:pPr>
        <w:spacing w:after="0" w:line="117" w:lineRule="exact"/>
        <w:rPr>
          <w:rFonts w:ascii="Arial" w:cs="Arial" w:eastAsia="Arial" w:hAnsi="Arial"/>
          <w:sz w:val="18"/>
          <w:szCs w:val="18"/>
          <w:color w:val="auto"/>
        </w:rPr>
      </w:pPr>
    </w:p>
    <w:p>
      <w:pPr>
        <w:ind w:left="980" w:right="220" w:hanging="432"/>
        <w:spacing w:after="0" w:line="238"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severance bonus for the calendar year during which the termination occurs, equal to (x) the executive’s target bonus multiplied by (y) a fraction, the numerator of which is equal to the number of days worked during the calendar year plus 183 days, and the denominator of which is the total number of days in the calendar year, subject to a 12-month minimum;</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executive will receive 18 months of service credit under the time-based equity awards he then holds; and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80" w:hanging="224"/>
        <w:spacing w:after="0" w:line="238"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employer contributions to the premium cost for COBRA coverage for the executive and his eligible dependents until the 18-month anniversary of the executive’s termination (or, if earlier, until the executive obtains other employment that offers group health benefits or is otherwise no longer eligible for COBRA coverage).</w:t>
      </w:r>
    </w:p>
    <w:p>
      <w:pPr>
        <w:spacing w:after="0" w:line="100"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The executive will also be eligible to receive such severance if, within three months preceding or 12 months following, a change of control (as defined in the Omnibus Incentive Plan) (the “Change of Control Protection Period”), the executive’s employment is terminated due to the expiration and non-renewal by us of the term of his amended employment agreement. In addition, if during the Change of Control Protection Period, the executive’s employment is terminated by us without cause, by him for good reason, or due to the expiration and non-renewal by us of the term of his employment agreement, the executive will be entitled to full vesting of the time-based equity awards he then holds.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executive’s employment agreement, “cause” generally means the executive’s:</w:t>
      </w:r>
    </w:p>
    <w:p>
      <w:pPr>
        <w:spacing w:after="0" w:line="99" w:lineRule="exact"/>
        <w:rPr>
          <w:sz w:val="20"/>
          <w:szCs w:val="20"/>
          <w:color w:val="auto"/>
        </w:rPr>
      </w:pPr>
    </w:p>
    <w:p>
      <w:pPr>
        <w:ind w:left="340" w:right="260" w:hanging="224"/>
        <w:spacing w:after="0" w:line="260"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or indictment for, any felony, or conviction of a crime involving moral turpitude that has had or could reasonably be expected to have a material adverse effect on the Company or any of its subsidiaries;</w:t>
      </w:r>
    </w:p>
    <w:p>
      <w:pPr>
        <w:spacing w:after="0" w:line="96" w:lineRule="exact"/>
        <w:rPr>
          <w:rFonts w:ascii="Arial" w:cs="Arial" w:eastAsia="Arial" w:hAnsi="Arial"/>
          <w:sz w:val="18"/>
          <w:szCs w:val="18"/>
          <w:color w:val="auto"/>
        </w:rPr>
      </w:pPr>
    </w:p>
    <w:p>
      <w:pPr>
        <w:ind w:left="340" w:right="360" w:hanging="224"/>
        <w:spacing w:after="0" w:line="239"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commitment of an act of fraud, embezzlement, material misappropriation or breach of fiduciary duty against the Company or any of its subsidiaries;</w:t>
      </w:r>
    </w:p>
    <w:p>
      <w:pPr>
        <w:spacing w:after="0" w:line="114"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for any reason, after 10 days’ written notice, to correct or cease any refusal or intentional or willful failure to comply with the lawful, reasonably appropriate requirement of the employer;</w:t>
      </w:r>
    </w:p>
    <w:p>
      <w:pPr>
        <w:spacing w:after="0" w:line="114" w:lineRule="exact"/>
        <w:rPr>
          <w:rFonts w:ascii="Arial" w:cs="Arial" w:eastAsia="Arial" w:hAnsi="Arial"/>
          <w:sz w:val="18"/>
          <w:szCs w:val="18"/>
          <w:color w:val="auto"/>
        </w:rPr>
      </w:pPr>
    </w:p>
    <w:p>
      <w:pPr>
        <w:ind w:left="340" w:right="100" w:hanging="224"/>
        <w:spacing w:after="0" w:line="238"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chronic absence from work, other than for medical reasons, or a breach of his obligation to devote his business time, attention and efforts to the business (unless approved by the Board of Directors in writing, or cured by the executive within 10 days following notice from his employer of the event);</w:t>
      </w:r>
    </w:p>
    <w:p>
      <w:pPr>
        <w:spacing w:after="0" w:line="113" w:lineRule="exact"/>
        <w:rPr>
          <w:rFonts w:ascii="Arial" w:cs="Arial" w:eastAsia="Arial" w:hAnsi="Arial"/>
          <w:sz w:val="18"/>
          <w:szCs w:val="18"/>
          <w:color w:val="auto"/>
        </w:rPr>
      </w:pPr>
    </w:p>
    <w:p>
      <w:pPr>
        <w:ind w:left="340" w:right="280" w:hanging="224"/>
        <w:spacing w:after="0" w:line="239"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use of illegal drugs that has materially affected the performance of his duties (unless the event is cured by the executive within 10 days following notice from his employer of the event);</w:t>
      </w:r>
    </w:p>
    <w:p>
      <w:pPr>
        <w:spacing w:after="0" w:line="109"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gross negligence or willful misconduct in his duties that has caused substantial injury to the Company</w:t>
      </w: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the event is cured by the executive within 10 days following notice from his employer of the event); or</w:t>
      </w:r>
    </w:p>
    <w:p>
      <w:pPr>
        <w:spacing w:after="0" w:line="117" w:lineRule="exact"/>
        <w:rPr>
          <w:rFonts w:ascii="Arial" w:cs="Arial" w:eastAsia="Arial" w:hAnsi="Arial"/>
          <w:sz w:val="18"/>
          <w:szCs w:val="18"/>
          <w:color w:val="auto"/>
        </w:rPr>
      </w:pPr>
    </w:p>
    <w:p>
      <w:pPr>
        <w:ind w:left="340" w:right="60" w:hanging="224"/>
        <w:spacing w:after="0" w:line="238"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breach of any non-competition, non-solicitation, and/or confidentiality provision or any material breach of any proprietary or confidential information or assignment of inventions agreement between the executive and the Company or any of its subsidiaries (unless the event is cured by the executive within 10 days following notice from his employer of the event).</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 the executive’s employment agreement, “good reason” generally means the occurrence of any of the following events without the consent of the executive, unless such events are fully corrected by the employer within 30 days following written notice, and provided that the executive gives written notice of his resignation within 30 days after his actual knowledge of the event and the executive actually terminates his employment within 30 days following the expiration of the employer’s cure period:</w:t>
      </w:r>
    </w:p>
    <w:p>
      <w:pPr>
        <w:spacing w:after="0" w:line="114" w:lineRule="exact"/>
        <w:rPr>
          <w:sz w:val="20"/>
          <w:szCs w:val="20"/>
          <w:color w:val="auto"/>
        </w:rPr>
      </w:pPr>
    </w:p>
    <w:p>
      <w:pPr>
        <w:ind w:left="340" w:right="60" w:hanging="224"/>
        <w:spacing w:after="0" w:line="238"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reduction in the amount of the executive’s base salary rate or target bonus opportunity (other than an across-the-board reduction in the salary level or target bonus opportunities of our senior executives as a group by the same percentage amount and approved by the Board of Directors or the Compensation Committee);</w:t>
      </w:r>
    </w:p>
    <w:p>
      <w:pPr>
        <w:spacing w:after="0" w:line="113"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in the executive’s titles, reporting requirements or reduction in his responsibilities materially inconsistent with the positions he holds;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60"/>
          </w:cols>
          <w:pgMar w:left="320" w:top="459"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in the executive’s place of work to a location more than 25 miles from his present place of work;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material breach of the Company’s obligations under the employment agreement.</w:t>
      </w:r>
    </w:p>
    <w:p>
      <w:pPr>
        <w:spacing w:after="0" w:line="104" w:lineRule="exact"/>
        <w:rPr>
          <w:sz w:val="20"/>
          <w:szCs w:val="20"/>
          <w:color w:val="auto"/>
        </w:rPr>
      </w:pPr>
    </w:p>
    <w:p>
      <w:pPr>
        <w:ind w:left="120" w:right="160"/>
        <w:spacing w:after="0" w:line="299" w:lineRule="auto"/>
        <w:rPr>
          <w:sz w:val="20"/>
          <w:szCs w:val="20"/>
          <w:color w:val="auto"/>
        </w:rPr>
      </w:pPr>
      <w:r>
        <w:rPr>
          <w:rFonts w:ascii="Arial" w:cs="Arial" w:eastAsia="Arial" w:hAnsi="Arial"/>
          <w:sz w:val="16"/>
          <w:szCs w:val="16"/>
          <w:color w:val="auto"/>
        </w:rPr>
        <w:t>In addition, under the amended and restated employment agreements, the executives will also be entitled to payment of any withheld distributions under QL Holdings LLC’s limited liability company agreement upon any of the foregoing qualifying terminations of employment.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Sinanyan employment agreement</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connection with the IPO, the Company and QuoteLab, LLC entered into a new employment agreement with Mr. Sinanyan, setting forth his base salary, target annual bonus and severance opportunities. The Company determined that it would be appropriate to enter into a new employment agreement with Mr. Sinanyan in light of the scope and complexity of his public company role and job responsibilities as our Chief Financial Officer.</w:t>
      </w:r>
    </w:p>
    <w:p>
      <w:pPr>
        <w:spacing w:after="0" w:line="100"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Mr. Sinanyan’s new employment agreement provides for base salary, target annual bonus and severance levels that take into account the competitive market assessment prepared by Compensia. Initially, Mr. Sinanyan’s annual base salary rate will be $350,000. His annual base salary rate will be reviewed annually, and may be increased but not decreased. His initial target annual bonus opportunity will be 57% of his annual base salary rate, and will be subject to the attainment of one or more pre-established performance goals.</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addition, under his new employment agreement, Mr. Sinanyan will be eligible (subject to his delivery of a release of claims in favor of the Company and its affiliates, as well as his material compliance with certain noncompetition, nonsolicitation and other restrictive covenants set forth in his employment agreement) to receive the following severance if his employment is terminated by us without “cause” or by him for “good reason” (as such terms is defined in the employment agreement and are substantially similar to the definitions in Messrs. Yi and Nonko’s employment agreements):</w:t>
      </w:r>
    </w:p>
    <w:p>
      <w:pPr>
        <w:spacing w:after="0" w:line="116" w:lineRule="exact"/>
        <w:rPr>
          <w:sz w:val="20"/>
          <w:szCs w:val="20"/>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 severance equal to 12 months’ base salary, at the rate in effect at the time of termination;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prorated portion of his annual bonus for the year of termination (subject to a six-month minimum); and</w:t>
      </w:r>
    </w:p>
    <w:p>
      <w:pPr>
        <w:spacing w:after="0" w:line="117" w:lineRule="exact"/>
        <w:rPr>
          <w:rFonts w:ascii="Arial" w:cs="Arial" w:eastAsia="Arial" w:hAnsi="Arial"/>
          <w:sz w:val="18"/>
          <w:szCs w:val="18"/>
          <w:color w:val="auto"/>
        </w:rPr>
      </w:pPr>
    </w:p>
    <w:p>
      <w:pPr>
        <w:ind w:left="340" w:right="100" w:hanging="224"/>
        <w:spacing w:after="0" w:line="238"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employer contributions to the premium cost for COBRA coverage for the executive and his eligible dependents until the 12-month anniversary of the executive’s termination (or, if earlier, until the executive obtains other employment that offers group health benefits or is otherwise no longer eligible for COBRA coverage).</w:t>
      </w:r>
    </w:p>
    <w:p>
      <w:pPr>
        <w:spacing w:after="0" w:line="100"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If, within three months preceding or 12 months following, a change of control (as defined in the Omnibus Incentive Plan), Mr. Sinanyan’s employment is terminated (x) by us without “cause,” (y) by him for “good reason,” or (z) due to the expiration and non-renewal by us of the term of his employment agreement, his severance would instead equal 18 months’ base salary; up to 18 months of employer contributions to the premium cost for COBRA coverage; a prorated portion of his annual bonus for the year of termination (subject to a six-month minimum); and full vesting of the time-based equity awards he then holds. Mr. Sinanyan will also be entitled to payment of any withheld distributions under QL Holdings LLC’s limited liability company agreement upon any of the foregoing qualifying terminations of employment.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programs</w:t>
      </w:r>
    </w:p>
    <w:p>
      <w:pPr>
        <w:spacing w:after="0" w:line="124"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Our NEOs are entitled to participate in the various benefit programs we offer to all of our employees, including a 401(k) plan, medical plan, dental plan, vision plan, life insurance plan, and long-term and short-term disability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20"/>
        <w:spacing w:after="0" w:line="238" w:lineRule="auto"/>
        <w:rPr>
          <w:sz w:val="20"/>
          <w:szCs w:val="20"/>
          <w:color w:val="auto"/>
        </w:rPr>
      </w:pPr>
      <w:r>
        <w:rPr>
          <w:rFonts w:ascii="Arial" w:cs="Arial" w:eastAsia="Arial" w:hAnsi="Arial"/>
          <w:sz w:val="18"/>
          <w:szCs w:val="18"/>
          <w:color w:val="auto"/>
        </w:rPr>
        <w:t>plans. Under our 401(k) plan, we make safe-harbor matching contributions equal to not less than 3% of an employee’s plan-eligible compensation, and may elect to make profit sharing contributions in our discretion. In fiscal year 2020, each NEO received a safe-harbor matching contribution of $8,550, and no profit sharing contributions were made to the plan.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Pre-IPO equity incentive program</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Each of our NEOs received a profits interest award in QL Holdings LLC following the successful completion of our 2019 recapitalization transaction and investment from Insignia. Mr. Sinanyan received an additional profits interest award in August 2020. The award consisted of Class B units of QL Holdings LLC, which is a class of membership interests in QL Holdings LLC that allows the holder to share in the future appreciation of QL Holdings LLC’s business, subject to certain vesting conditions, as described in more detail below. In connection with our reorganization in 2020, each NEO contributed, directly or indirectly, all or a portion of his Class B units of QL Holdings LLC to QL Management Holdings LLC in exchange for Class 2 Units of QL Management Holdings LLC. The Class 2 Units of QL Management Holdings LLC track the value and distributions of Class B units of QL Holdings LLC. The awards granted in 2019 and 2020 and held, directly or indirectly, by the NEOs are referred to in this prospectus as the “Profits Interest Units.”</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 xml:space="preserve">The Profits Interest Units were granted pursuant to the Amended and Restated QL Holdings LLC Class B Restricted Unit Plan. When vested, the Profits Interest Units participate in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distributions to members of QL Holdings LLC of appreciation above a specified threshold value. The threshold value is equal to the equity value of QL Holdings LLC’s business as of the grant date of the award, plus an annually compounded 8% return threshold. If QL Holdings LLC’s equity were not to appreciate in value after the grant date of the award, then the Profits Interest Units would have no value. If a Profits Interest Unit is unvested at the time of any distribution to members of QL Holdings LLC, then, unless otherwise determined by the board of directors of QL Holdings LLC in its discretion, the distributions in respect of the unvested Profits Interest Unit would be held back and would be distributed to the executive if and when the Profits Interest Unit actually vests.</w:t>
      </w:r>
    </w:p>
    <w:p>
      <w:pPr>
        <w:spacing w:after="0" w:line="82"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The Profits Interest Units were subject to a four-year vesting schedule, which required the NEO’s continued service with us through the applicable vesting dates. The Profits Interest Units vest as to 25% on the first anniversary of the vesting commencement date set forth in the executive’s award agreement, and the remaining 75% vest ratably each month over the following 36 months. Vesting of Profits Interest Units granted to Messrs. Yi and Nonko was accelerated as of immediately prior to the recapitalization effected in connection with the IPO reorganization. Mr. Sinanyan’s Profits Interest Units, which were exchanged for the Class B-1 units of QL Holdings LLC upon the IPO reorganization remain subject to vesting on the original terms of the grant. When vested, Class B-1 units, together with corresponding shares of our Class B common stock, are exchangeable for shares of our Class A common stock. These awards continue to be governed by the terms of the Amended and Restated QL Holdings LLC Class B Restricted Unit Plan and applicable award agreement. See “Organizational structure—IPO reorganization transactions” for more information.</w:t>
      </w:r>
    </w:p>
    <w:p>
      <w:pPr>
        <w:spacing w:after="0" w:line="106"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Under the terms of Mr. Sinanyan’s Profits Interest Units, in the event of a Company Sale (as defined in QL Holdings LLC’s limited liability company agreement), any unvested Profits Interest Units would become fully vested, subject to his continued employment through such date. If a Company Sale is consummated within three months following the termination of his service relationship due to death or disability, or by us without “cause” (as such term is defined in his award agreement), then (i) any Profits Interest Units held by him that were unvested at the time of such termination will become fully vested effective as of the Company Sale, and he will be entitled to receive consideration with respect to such vested units in connection with such Company Sale, and (ii) to the extent the Profits Interest Units were repurchased prior to the Company Sale, he will be paid the difference, if any, between the repurchase price paid to him and the amount he would have received for his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vested units upon the Company Sale had the repurchase right not been exercised. If the Company Sale is not consummated within the specified period following death, disability or termination without cause, then any unvested units will be forfeited.</w:t>
      </w:r>
    </w:p>
    <w:p>
      <w:pPr>
        <w:spacing w:after="0" w:line="101"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Profits Interest Units are subject to repurchase rights upon a termination of employment (whereby QL Holdings LLC may elect to repurchase vested units for fair market value or, in the case of a termination for cause or breach of restrictive covenants, zero value); however, these repurchase rights terminate upon the earlier of a Company Sale or an initial public offering that satisfies certain proceeds and enterprise value thresholds. The repurchase rights were terminated upon the closing of the IPO.</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connection with the offering reorganization, the issued and outstanding Class B units of QL Holdings LLC (including the profits interest units held by our NEOs) were recapitalized. For more information regarding the offering reorganization and holding company structure, see “Organizational structure—IPO reorganization transactions.”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Post-IPO 2020 equity incentive program</w:t>
      </w:r>
    </w:p>
    <w:p>
      <w:pPr>
        <w:spacing w:after="0" w:line="12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 connection with the IPO, we established an omnibus incentive plan (the “Omnibus Incentive Plan”) for the benefit of our employees, officers, directors and consultants, which we will use to provide equity-based incentives to such individuals, aligning their interests with those of our stockholders, described in further detail below.</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 awards</w:t>
      </w:r>
    </w:p>
    <w:p>
      <w:pPr>
        <w:spacing w:after="0" w:line="12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connection with the IPO, we granted RSU awards under the Omnibus Incentive Plan to certain officers, including the NEOs. Messrs. Yi and Nonko each received an RSU award covering 1,837,765 shares of our Class A common stock. Mr. Sinanyan received an RSU award covering 91,888 shares of our Class A common stock. The RSUs will vest quarterly over the first three years following the date of grant, subject to continued employment or service with us through each vesting date, with limited exceptions for (i) in the case of Messrs. Yi and Nonko, a termination of employment or service due to death or “disability,” or a termination by us without “cause” or by the executive for “good reason” (as such terms are defined in their respective amended and restated employment agreements and described above), or (ii) for all awards, a change of control or certain qualifying terminations in connection with a change of control (as defined in the Omnibus Incentive Plan). Each RSU will be entitled to dividend equivalents, which will be payable in cash or shares, as determined by our Compensation Committee, if and when the underlying RSU vests.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2020 omnibus incentive plan</w:t>
      </w:r>
    </w:p>
    <w:p>
      <w:pPr>
        <w:spacing w:after="0" w:line="134"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In 2020, in connection with the IPO, we adopted the Omnibus Incentive Plan pursuant to which equity-based and cash incentives may be granted to current or prospective directors, officers, employees, and consultants. Awards may include nonqualified stock options, incentive (qualified) stock options, stock appreciation rights, restricted share awards, RSUs, performance awards, cash incentive awards, and other equity-based awards (including deferred share units and fully vested shares), as determined by our Compensation Committee, which administers the Omnibus Incentive Plan. Our stockholders approved the Omnibus Incentive Plan prior to the closing of the IPO. Awards may be subject to clawback or forfeiture to the extent required by applicable law (including, without limitation, Section 304 of the Sarbanes-Oxley Act and Section 954 of the Dodd-Frank Wall Street Reform and Consumer Protection Act) and/or the rules and regulations of the NYSE or other applicable securities exchange, or if so required pursuant to a written policy adopted by the Company or the provisions of an award agreement.</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162(m) Considerations</w:t>
      </w:r>
    </w:p>
    <w:p>
      <w:pPr>
        <w:spacing w:after="0" w:line="12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In general, Section 162(m) of the Code denies a publicly held corporation a deduction for U.S. federal income tax purposes for compensation paid to any covered employee in excess of $1,000,000 per year. Under Section 162(m) of the Code, as amended by the Tax Cuts and Jobs Act of 2017, the term “covered employee” generally means the chief executive officer, chief financial officer and each NEO whose compensation is required to be reported for the relevant fiscal year. In December 2019, the IRS released proposed regulations under Section 162(m) of the Code, which addressed changes to the Tax Cuts and Jobs Act and, among other things, extended the coverage of Section 162(m) of the Code to include compensation paid by a partnership for services performed for it by a covered employee of a corporation that is a partner in the partnership. The proposed regulations, if they become effective in their current form, may reduce the amount of tax deductions available to the Company and its subsidiaries. Our Compensation Committee retains authority to make payments or grant awards under the Omnibus Incentive Plan or otherwise that are not fully deductible if, in its sole discretion, such payments are necessary to achieve our compensation objectives and to protect stockholder interests.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compensation for fiscal year 2020</w:t>
      </w:r>
    </w:p>
    <w:p>
      <w:pPr>
        <w:spacing w:after="0" w:line="13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following table summarizes the compensation earned by, or awarded or paid to, those directors who, for the year ended December 31, 2020, were compensated for their service as directors. None of the other directors (</w:t>
      </w:r>
      <w:r>
        <w:rPr>
          <w:rFonts w:ascii="Arial" w:cs="Arial" w:eastAsia="Arial" w:hAnsi="Arial"/>
          <w:sz w:val="18"/>
          <w:szCs w:val="18"/>
          <w:i w:val="1"/>
          <w:iCs w:val="1"/>
          <w:color w:val="auto"/>
        </w:rPr>
        <w:t>i.e.</w:t>
      </w:r>
      <w:r>
        <w:rPr>
          <w:rFonts w:ascii="Arial" w:cs="Arial" w:eastAsia="Arial" w:hAnsi="Arial"/>
          <w:sz w:val="18"/>
          <w:szCs w:val="18"/>
          <w:color w:val="auto"/>
        </w:rPr>
        <w:t>, those not listed in the table) earned, were awarded or were paid any compensation from us for the year ended December 31, 2020,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4480" w:type="dxa"/>
            <w:vAlign w:val="bottom"/>
          </w:tcPr>
          <w:p>
            <w:pPr>
              <w:jc w:val="right"/>
              <w:ind w:right="138"/>
              <w:spacing w:after="0"/>
              <w:rPr>
                <w:sz w:val="20"/>
                <w:szCs w:val="20"/>
                <w:color w:val="auto"/>
              </w:rPr>
            </w:pPr>
            <w:r>
              <w:rPr>
                <w:rFonts w:ascii="Arial" w:cs="Arial" w:eastAsia="Arial" w:hAnsi="Arial"/>
                <w:sz w:val="18"/>
                <w:szCs w:val="18"/>
                <w:b w:val="1"/>
                <w:bCs w:val="1"/>
                <w:color w:val="auto"/>
              </w:rPr>
              <w:t>Fees earned or</w:t>
            </w:r>
          </w:p>
        </w:tc>
        <w:tc>
          <w:tcPr>
            <w:tcW w:w="1060" w:type="dxa"/>
            <w:vAlign w:val="bottom"/>
          </w:tcPr>
          <w:p>
            <w:pPr>
              <w:jc w:val="right"/>
              <w:ind w:right="118"/>
              <w:spacing w:after="0"/>
              <w:rPr>
                <w:sz w:val="20"/>
                <w:szCs w:val="20"/>
                <w:color w:val="auto"/>
              </w:rPr>
            </w:pPr>
            <w:r>
              <w:rPr>
                <w:rFonts w:ascii="Arial" w:cs="Arial" w:eastAsia="Arial" w:hAnsi="Arial"/>
                <w:sz w:val="18"/>
                <w:szCs w:val="18"/>
                <w:b w:val="1"/>
                <w:bCs w:val="1"/>
                <w:color w:val="auto"/>
              </w:rPr>
              <w:t>Stock</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4480" w:type="dxa"/>
            <w:vAlign w:val="bottom"/>
          </w:tcPr>
          <w:p>
            <w:pPr>
              <w:jc w:val="right"/>
              <w:ind w:right="138"/>
              <w:spacing w:after="0" w:line="202" w:lineRule="exact"/>
              <w:rPr>
                <w:sz w:val="20"/>
                <w:szCs w:val="20"/>
                <w:color w:val="auto"/>
              </w:rPr>
            </w:pPr>
            <w:r>
              <w:rPr>
                <w:rFonts w:ascii="Arial" w:cs="Arial" w:eastAsia="Arial" w:hAnsi="Arial"/>
                <w:sz w:val="18"/>
                <w:szCs w:val="18"/>
                <w:b w:val="1"/>
                <w:bCs w:val="1"/>
                <w:color w:val="auto"/>
              </w:rPr>
              <w:t>paid in cash</w:t>
            </w:r>
          </w:p>
        </w:tc>
        <w:tc>
          <w:tcPr>
            <w:tcW w:w="1060" w:type="dxa"/>
            <w:vAlign w:val="bottom"/>
          </w:tcPr>
          <w:p>
            <w:pPr>
              <w:jc w:val="right"/>
              <w:ind w:right="118"/>
              <w:spacing w:after="0" w:line="202" w:lineRule="exact"/>
              <w:rPr>
                <w:sz w:val="20"/>
                <w:szCs w:val="20"/>
                <w:color w:val="auto"/>
              </w:rPr>
            </w:pPr>
            <w:r>
              <w:rPr>
                <w:rFonts w:ascii="Arial" w:cs="Arial" w:eastAsia="Arial" w:hAnsi="Arial"/>
                <w:sz w:val="18"/>
                <w:szCs w:val="18"/>
                <w:b w:val="1"/>
                <w:bCs w:val="1"/>
                <w:color w:val="auto"/>
              </w:rPr>
              <w:t>Awards</w:t>
            </w:r>
          </w:p>
        </w:tc>
        <w:tc>
          <w:tcPr>
            <w:tcW w:w="920" w:type="dxa"/>
            <w:vAlign w:val="bottom"/>
            <w:gridSpan w:val="2"/>
          </w:tcPr>
          <w:p>
            <w:pPr>
              <w:ind w:left="460"/>
              <w:spacing w:after="0" w:line="202" w:lineRule="exact"/>
              <w:rPr>
                <w:sz w:val="20"/>
                <w:szCs w:val="20"/>
                <w:color w:val="auto"/>
              </w:rPr>
            </w:pPr>
            <w:r>
              <w:rPr>
                <w:rFonts w:ascii="Arial" w:cs="Arial" w:eastAsia="Arial" w:hAnsi="Arial"/>
                <w:sz w:val="18"/>
                <w:szCs w:val="18"/>
                <w:b w:val="1"/>
                <w:bCs w:val="1"/>
                <w:color w:val="auto"/>
              </w:rPr>
              <w:t>Total</w:t>
            </w: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480" w:type="dxa"/>
            <w:vAlign w:val="bottom"/>
            <w:tcBorders>
              <w:bottom w:val="single" w:sz="8" w:color="auto"/>
            </w:tcBorders>
          </w:tcPr>
          <w:p>
            <w:pPr>
              <w:jc w:val="right"/>
              <w:ind w:right="138"/>
              <w:spacing w:after="0" w:line="221"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(1)</w:t>
            </w:r>
          </w:p>
        </w:tc>
        <w:tc>
          <w:tcPr>
            <w:tcW w:w="1060" w:type="dxa"/>
            <w:vAlign w:val="bottom"/>
            <w:tcBorders>
              <w:bottom w:val="single" w:sz="8" w:color="auto"/>
            </w:tcBorders>
          </w:tcPr>
          <w:p>
            <w:pPr>
              <w:jc w:val="right"/>
              <w:ind w:right="118"/>
              <w:spacing w:after="0" w:line="221"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(2)</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Morgan Davis</w:t>
            </w:r>
          </w:p>
        </w:tc>
        <w:tc>
          <w:tcPr>
            <w:tcW w:w="4480" w:type="dxa"/>
            <w:vAlign w:val="bottom"/>
            <w:shd w:val="clear" w:color="auto" w:fill="CCEEFF"/>
          </w:tcPr>
          <w:p>
            <w:pPr>
              <w:jc w:val="right"/>
              <w:ind w:right="138"/>
              <w:spacing w:after="0" w:line="196" w:lineRule="exact"/>
              <w:rPr>
                <w:sz w:val="20"/>
                <w:szCs w:val="20"/>
                <w:color w:val="auto"/>
              </w:rPr>
            </w:pPr>
            <w:r>
              <w:rPr>
                <w:rFonts w:ascii="Arial" w:cs="Arial" w:eastAsia="Arial" w:hAnsi="Arial"/>
                <w:sz w:val="18"/>
                <w:szCs w:val="18"/>
                <w:color w:val="auto"/>
              </w:rPr>
              <w:t>40,000</w:t>
            </w:r>
          </w:p>
        </w:tc>
        <w:tc>
          <w:tcPr>
            <w:tcW w:w="1060" w:type="dxa"/>
            <w:vAlign w:val="bottom"/>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Venmal (Raji) Arasu</w:t>
            </w:r>
          </w:p>
        </w:tc>
        <w:tc>
          <w:tcPr>
            <w:tcW w:w="44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14,375</w:t>
            </w:r>
          </w:p>
        </w:tc>
        <w:tc>
          <w:tcPr>
            <w:tcW w:w="10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300,010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314,385</w:t>
            </w: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Lara Sweet</w:t>
            </w:r>
          </w:p>
        </w:tc>
        <w:tc>
          <w:tcPr>
            <w:tcW w:w="448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16,875</w:t>
            </w:r>
          </w:p>
        </w:tc>
        <w:tc>
          <w:tcPr>
            <w:tcW w:w="106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300,010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316,885</w:t>
            </w:r>
          </w:p>
        </w:tc>
        <w:tc>
          <w:tcPr>
            <w:tcW w:w="60" w:type="dxa"/>
            <w:vAlign w:val="bottom"/>
            <w:shd w:val="clear" w:color="auto" w:fill="CCEEFF"/>
          </w:tcPr>
          <w:p>
            <w:pPr>
              <w:spacing w:after="0"/>
              <w:rPr>
                <w:sz w:val="17"/>
                <w:szCs w:val="17"/>
                <w:color w:val="auto"/>
              </w:rPr>
            </w:pPr>
          </w:p>
        </w:tc>
      </w:tr>
      <w:tr>
        <w:trPr>
          <w:trHeight w:val="21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Kathy Vrabeck</w:t>
            </w:r>
          </w:p>
        </w:tc>
        <w:tc>
          <w:tcPr>
            <w:tcW w:w="44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18,750</w:t>
            </w: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300,010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318,760</w:t>
            </w:r>
          </w:p>
        </w:tc>
        <w:tc>
          <w:tcPr>
            <w:tcW w:w="60" w:type="dxa"/>
            <w:vAlign w:val="bottom"/>
          </w:tcPr>
          <w:p>
            <w:pPr>
              <w:spacing w:after="0"/>
              <w:rPr>
                <w:sz w:val="18"/>
                <w:szCs w:val="18"/>
                <w:color w:val="auto"/>
              </w:rPr>
            </w:pPr>
          </w:p>
        </w:tc>
      </w:tr>
    </w:tbl>
    <w:p>
      <w:pPr>
        <w:spacing w:after="0" w:line="67" w:lineRule="exact"/>
        <w:rPr>
          <w:sz w:val="20"/>
          <w:szCs w:val="20"/>
          <w:color w:val="auto"/>
        </w:rPr>
      </w:pPr>
    </w:p>
    <w:p>
      <w:pPr>
        <w:ind w:left="440" w:hanging="324"/>
        <w:spacing w:after="0"/>
        <w:tabs>
          <w:tab w:leader="none" w:pos="4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Reflects an annual cash retainer of $40,000, payable quarterly in arrears.</w:t>
      </w:r>
    </w:p>
    <w:p>
      <w:pPr>
        <w:spacing w:after="0" w:line="66" w:lineRule="exact"/>
        <w:rPr>
          <w:rFonts w:ascii="Arial" w:cs="Arial" w:eastAsia="Arial" w:hAnsi="Arial"/>
          <w:sz w:val="13"/>
          <w:szCs w:val="13"/>
          <w:color w:val="auto"/>
        </w:rPr>
      </w:pPr>
    </w:p>
    <w:p>
      <w:pPr>
        <w:ind w:left="440" w:right="160" w:hanging="324"/>
        <w:spacing w:after="0" w:line="245" w:lineRule="auto"/>
        <w:tabs>
          <w:tab w:leader="none" w:pos="4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RSU award granted on October 27, 2020. Three of our non-employee directors who joined our Board of Directors in connection with the IPO, Kathy Vrabeck, Lara Sweet and Venmal (Raji) Arasu, received their initial one-time equity award of $300,000 in the form of RSUs, which vests quarterly over three years following the date of grant, subject to continued services through the applicable vesting date. Each of Kathy Vrabeck, Lara Sweet and Venmal (Raji) Arasu were granted 15,790 RSUs which vests quarterly over three years, beginning on October 27, 2020 and ending on October 28, 2023.</w:t>
      </w:r>
    </w:p>
    <w:p>
      <w:pPr>
        <w:spacing w:after="0" w:line="9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connection with the IPO, the Company implemented a new director compensation policy that will apply to non-employee directors. Members of our Board of Directors who are representatives of White Mountains and Insignia each agreed, subject to annual confirmation and provided that the Company remains a controlled company, to waive fees that would have been due to them under the new director compensation policy in respect of their services on our Board of Directors.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new 2020 director compensation policy, each such non-employee director is entitled to:</w:t>
      </w:r>
    </w:p>
    <w:p>
      <w:pPr>
        <w:spacing w:after="0" w:line="117" w:lineRule="exact"/>
        <w:rPr>
          <w:sz w:val="20"/>
          <w:szCs w:val="20"/>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annual cash retainer of $40,000, payable quarterly in arrears;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annual equity-based compensation of $175,000 in the form of RSUs, subject to the terms described below; and</w:t>
      </w:r>
    </w:p>
    <w:p>
      <w:pPr>
        <w:spacing w:after="0" w:line="117" w:lineRule="exact"/>
        <w:rPr>
          <w:rFonts w:ascii="Arial" w:cs="Arial" w:eastAsia="Arial" w:hAnsi="Arial"/>
          <w:sz w:val="18"/>
          <w:szCs w:val="18"/>
          <w:color w:val="auto"/>
        </w:rPr>
      </w:pPr>
    </w:p>
    <w:p>
      <w:pPr>
        <w:jc w:val="both"/>
        <w:ind w:left="340" w:right="80" w:hanging="224"/>
        <w:spacing w:after="0" w:line="23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new non-employee directors who join our Board of Directors, an initial, one-time equity award of $300,000 in the form of RSUs, granted as of the time of their appointment, which vest quarterly over three years following the date of grant, subject to continued services through the applicable vesting date.</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Annual equity awards will be granted to each director as of the date of our annual stockholder meeting, commencing with our first annual stockholder meeting, prospectively for the year of service following the annual stockholder meeting, and will vest on the earlier of (x) the one-year anniversary of the grant date and (y) the following year’s annual stockholder meeting, subject to continued service. Any non-employee director who joins our Board of Directors mid-year will receive prorated annual cash retainers during the director’s first year of service.</w:t>
      </w:r>
    </w:p>
    <w:p>
      <w:pPr>
        <w:spacing w:after="0" w:line="7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addition, our new director compensation policy provides for annual retainers for the chairperson of our Board of Directors, lead independent director (if applicable), committee chairs and committee members, in the following amounts:</w:t>
      </w:r>
    </w:p>
    <w:p>
      <w:pPr>
        <w:spacing w:after="0" w:line="114" w:lineRule="exact"/>
        <w:rPr>
          <w:sz w:val="20"/>
          <w:szCs w:val="20"/>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$25,000 for the chair;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$20,000 for the lead independent director (if not the chair);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$20,000 for the chair of our Audit Committee;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$15,000 for the chair of our Compensation Committee;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$10,000 for the chair of our Nominating and Corporate Governance Committee;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$10,000 for each member of the Audit Committee, other than the chair;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$7,500 for each member of the Compensation Committee, other than the chair; and</w:t>
      </w:r>
    </w:p>
    <w:p>
      <w:pPr>
        <w:spacing w:after="0" w:line="117" w:lineRule="exact"/>
        <w:rPr>
          <w:rFonts w:ascii="Arial" w:cs="Arial" w:eastAsia="Arial" w:hAnsi="Arial"/>
          <w:sz w:val="18"/>
          <w:szCs w:val="18"/>
          <w:color w:val="auto"/>
        </w:rPr>
      </w:pPr>
    </w:p>
    <w:p>
      <w:pPr>
        <w:ind w:left="5480" w:right="2700" w:hanging="5364"/>
        <w:spacing w:after="0" w:line="411" w:lineRule="auto"/>
        <w:tabs>
          <w:tab w:leader="none" w:pos="334" w:val="left"/>
        </w:tabs>
        <w:numPr>
          <w:ilvl w:val="0"/>
          <w:numId w:val="67"/>
        </w:numPr>
        <w:rPr>
          <w:rFonts w:ascii="Arial" w:cs="Arial" w:eastAsia="Arial" w:hAnsi="Arial"/>
          <w:sz w:val="18"/>
          <w:szCs w:val="18"/>
          <w:color w:val="auto"/>
        </w:rPr>
      </w:pPr>
      <w:r>
        <w:rPr>
          <w:rFonts w:ascii="Arial" w:cs="Arial" w:eastAsia="Arial" w:hAnsi="Arial"/>
          <w:sz w:val="18"/>
          <w:szCs w:val="18"/>
          <w:color w:val="auto"/>
        </w:rPr>
        <w:t>$5,000 for each member of the Nominating and Corporate Governance Committee, other than the chair. 136</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7"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Other than compensation arrangements for our executive officers and directors which are described elsewhere in this prospectus, below we describe transactions since January 1, 2017 to which we were or will be a participant and in which:</w:t>
      </w:r>
    </w:p>
    <w:p>
      <w:pPr>
        <w:spacing w:after="0" w:line="114" w:lineRule="exact"/>
        <w:rPr>
          <w:sz w:val="20"/>
          <w:szCs w:val="20"/>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340" w:right="260" w:hanging="224"/>
        <w:spacing w:after="0" w:line="299"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voting securities, or any member of the immediate family of, or person sharing the household with, the foregoing persons, had or will have a direct or indirect material interest.</w:t>
      </w:r>
    </w:p>
    <w:p>
      <w:pPr>
        <w:spacing w:after="0" w:line="55" w:lineRule="exact"/>
        <w:rPr>
          <w:sz w:val="20"/>
          <w:szCs w:val="20"/>
          <w:color w:val="auto"/>
        </w:rPr>
      </w:pPr>
    </w:p>
    <w:p>
      <w:pPr>
        <w:ind w:left="120" w:right="300"/>
        <w:spacing w:after="0" w:line="237" w:lineRule="auto"/>
        <w:rPr>
          <w:sz w:val="20"/>
          <w:szCs w:val="20"/>
          <w:color w:val="auto"/>
        </w:rPr>
      </w:pPr>
      <w:r>
        <w:rPr>
          <w:rFonts w:ascii="Arial" w:cs="Arial" w:eastAsia="Arial" w:hAnsi="Arial"/>
          <w:sz w:val="18"/>
          <w:szCs w:val="18"/>
          <w:color w:val="auto"/>
        </w:rPr>
        <w:t>In connection with our IPO reorganization, we engaged in certain transactions with White Mountains, Insignia, the Founders and the other Senior Executives, each of which (other than the Senior Executives) is, and will remain, a beneficial owner of 5% or more of our voting securities through ownership of shares of our Class A common stock or Class B common stock. These transactions are described in detail below and under “Organizational structure.”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Reorganization agreement</w:t>
      </w:r>
    </w:p>
    <w:p>
      <w:pPr>
        <w:spacing w:after="0" w:line="124"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8"/>
          <w:szCs w:val="18"/>
          <w:color w:val="auto"/>
        </w:rPr>
        <w:t>Prior to the IPO, we entered into the reorganization agreement with QL Holdings LLC, White Mountains, Intermediate Holdco, the Legacy Profits Interest Holders and the other members of QL Holdings LLC that sets forth a series of reorganization transactions consummated in connection with the IPO reorganization. These transactions are described in detail under “Organizational structure.”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Fourth amended and restated limited liability company agreement of QL Holdings LLC</w:t>
      </w:r>
    </w:p>
    <w:p>
      <w:pPr>
        <w:spacing w:after="0" w:line="12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operate our business through QL Holdings LLC, together with its subsidiaries. The operations of QL Holdings LLC, and the rights and obligations of its members are governed by the fourth amended and restated limited liability company agreement of QL Holdings LLC. Through our wholly owned subsidiary, Intermediate Holdco, we serve as sole managing member of QL Holdings LLC. As such, we control its business and affairs and are responsible for the management of its business.</w:t>
      </w:r>
    </w:p>
    <w:p>
      <w:pPr>
        <w:spacing w:after="0" w:line="100" w:lineRule="exact"/>
        <w:rPr>
          <w:sz w:val="20"/>
          <w:szCs w:val="20"/>
          <w:color w:val="auto"/>
        </w:rPr>
      </w:pPr>
    </w:p>
    <w:p>
      <w:pPr>
        <w:ind w:left="120" w:right="120"/>
        <w:spacing w:after="0" w:line="234" w:lineRule="auto"/>
        <w:rPr>
          <w:sz w:val="20"/>
          <w:szCs w:val="20"/>
          <w:color w:val="auto"/>
        </w:rPr>
      </w:pPr>
      <w:r>
        <w:rPr>
          <w:rFonts w:ascii="Arial" w:cs="Arial" w:eastAsia="Arial" w:hAnsi="Arial"/>
          <w:sz w:val="18"/>
          <w:szCs w:val="18"/>
          <w:color w:val="auto"/>
        </w:rPr>
        <w:t>The fourth amended and restated limited liability company agreement of QL Holdings LLC establishes two classes of equity: Class A-1 units and Class B-1 units. Class A-1 units may be issued only to our wholly owned subsidiary, Intermediate Holdco, as the sole managing member of QL Holdings LLC. Class B-1 units of QL Holdings LLC may be issued only to persons or entities we permit which, as of the date of this prospectus, are</w:t>
      </w:r>
    </w:p>
    <w:p>
      <w:pPr>
        <w:spacing w:after="0" w:line="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Insignia and the Senior Executives. For a description of the fourth amended and restated limited liability company agreement of QL Holdings LLC and the rights provided to holders of Class A-1 units and Class B-1 units thereunder, see “Organizational structure—Fourth amended and restated limited liability company agreement of QL Holdings LLC.”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Immediately prior to the completion of the IPO, we entered into the exchange agreement with Insignia and the Senior Executives, which each hold Class B-1 units of QL Holdings LLC. Pursuant to and subject to the terms of the exchange agreement and the fourth amended and restated limited liability company agreement of QL Holdings LLC, holders of Class B-1 units, at any time and from time to time, may exchange one Class B-1 unit, together with the corresponding share of our Class B common stock, for one share of our Class A common stock (or, at our election, cash of an equivalent value). The amount of Class A common stock issued or conveyed will be subject to</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equitable adjustments for stock splits, stock dividends, reclassifications and other similar transactions. For a description of the exchange agreement, see “Organizational structure—Fourth amended and restated limited liability company agreement of QL Holdings LLC—Exchange agreement.”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receivables agreement</w:t>
      </w:r>
    </w:p>
    <w:p>
      <w:pPr>
        <w:spacing w:after="0" w:line="12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expect to obtain an increase in our share of the tax basis of the tangible and intangible assets of QL Holdings LLC as a result of (i) our purchase (through Intermediate Holdco) of Class B-1 units of QL Holdings LLC from certain unitholders (including the Selling Class B-1 Unit Holders) in connection with the IPO, (ii) the Pre-IPO Leveraged Distribution and other actual or deemed distributions by QL Holdings LLC to its members, and (iii) certain post-IPO exchanges (including in connection with this offering) of Class B-1 units of QL Holdings LLC, together with an equal number of shares of our Class B common stock, for shares of our Class A common stock (or, at our election, cash of an equivalent value). These increases in tax basis are expected to increase our depreciation and amortization deductions (for tax purposes)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 We expect to treat any such exchanges of Class B-1 units of QL Holdings LLC as our direct purchases of Class B-1 units from holders of Class B-1 units for U.S. federal income and other applicable tax purposes, regardless of whether such Class B-1 units are surrendered by such holders to QL Holdings LLC or to us directly in the exchange. See “Organizational structure.”</w:t>
      </w:r>
    </w:p>
    <w:p>
      <w:pPr>
        <w:spacing w:after="0" w:line="28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connection with the IPO, we entered into the tax receivables agreement with Insignia, the Senior Executives, and White Mountains related to the tax basis step-up of the assets of QL Holdings LLC and certain net operating losses of Intermediate Holdco. The agreement requires us to pay Insignia and the Senior Executives 85% of the cash savings, if any, in U.S. federal, state and local income tax we realize (or are deemed to realize) as a result of (i) any increases in tax basis following our purchase (through Intermediate Holdco) of Class B-1 units of QL Holdings LLC from certain unitholders (including the Selling Class B-1 Unit Holders) in connection with the IPO, as well as any post-IPO exchanges (including in connection with this offering) described above, (ii) the Pre-IPO Leveraged Distribution and other actual or deemed distributions by QL Holdings LLC to its members that result in tax basis adjustments to the assets of QL Holdings LLC, and (iii) certain other tax benefits attributable to payments under the tax receivables agreement itself.</w:t>
      </w:r>
    </w:p>
    <w:p>
      <w:pPr>
        <w:spacing w:after="0" w:line="100"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this offering and the deduction of any imputed interest attributable to our payment obligations under the tax receivables agreement.</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estimate that the amount of any such net operating losses is immaterial.</w:t>
      </w:r>
    </w:p>
    <w:p>
      <w:pPr>
        <w:spacing w:after="0" w:line="104"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The obligations under the tax receivables agreement are our obligations and not obligations of QL Holdings LLC. We will benefit from the remaining 15% of any realized (or deemed to be realized) cash tax savings. For a description of the tax receivables agreement, see “Organizational structure—Tax receivables agreement.”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Immediately prior to the completion of the IPO, we entered into the registration rights agreement with certain of our pre-IPO shareholders, including White Mountains, Insignia, and the Senior Executives, to register for sale under the Securities Act shares of our Class A common stock, including those delivered in exchange for Class B-1 units of QL Holdings LLC in the circumstances described above. Subject to certain conditions and limitations, this agreement provides White Mountains, Insignia, and the Senior Executives with certain registration rights as described in “Organizational structure—Registration rights agreement.”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connection with the IPO, we entered into the stockholders’ agreement with White Mountains, Insignia, and the Founders. The stockholders’ agreement contains provisions related to the composition of our Board of Directors, the committees of our Board of Directors and our corporate governance. Under the stockholders’ agreement, White Mountains, Insignia, and the Founders are entitled to nominate a majority of the members of our Board of Directors. In addition, White Mountains, Insignia, and the Founders agreed in the stockholders’ agreement to vote for each other’s board nominees. See “Organizational structure—Stockholders’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of directors and officers</w:t>
      </w:r>
    </w:p>
    <w:p>
      <w:pPr>
        <w:spacing w:after="0" w:line="134"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In addition, our amended and restated certificate of incorporation provides that our directors will not be personally liable to us or our stockholders for monetary damages for breach of fiduciary duty, except as required by applicable law, as in effect from time to time. See “Description of capital stock—Limitation of liability of directors and officers.”</w:t>
      </w:r>
    </w:p>
    <w:p>
      <w:pPr>
        <w:spacing w:after="0" w:line="78"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have entered into customary indemnification agreements with our directors and officers. These agreements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100"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There is no pending litigation or proceeding involving any of our directors or officers to which indemnification is being sought, and we are not aware of any pending litigation that may result in claims for indemnification by any director or officer.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34" w:lineRule="exact"/>
        <w:rPr>
          <w:sz w:val="20"/>
          <w:szCs w:val="20"/>
          <w:color w:val="auto"/>
        </w:rPr>
      </w:pPr>
    </w:p>
    <w:p>
      <w:pPr>
        <w:ind w:left="120" w:right="160"/>
        <w:spacing w:after="0" w:line="269" w:lineRule="auto"/>
        <w:rPr>
          <w:sz w:val="20"/>
          <w:szCs w:val="20"/>
          <w:color w:val="auto"/>
        </w:rPr>
      </w:pPr>
      <w:r>
        <w:rPr>
          <w:rFonts w:ascii="Arial" w:cs="Arial" w:eastAsia="Arial" w:hAnsi="Arial"/>
          <w:sz w:val="16"/>
          <w:szCs w:val="16"/>
          <w:color w:val="auto"/>
        </w:rPr>
        <w:t>We have a policy that all material transactions with a related party, as well as all material transactions in which there is an actual, or in some cases, perceived, conflict of interest, will be subject to prior review and approval by our Audit Committee and its independent members, who will determine whether such transactions or proposals are fair and reasonable to MediaAlpha, Inc. and its stockholders. In general, potential related-party transactions will be identified by our management and discussed with our Audit Committee at its meetings. Detailed proposals, including, where applicable, financial and legal analyses, alternatives and management recommendations, will be provided to our Audit Committee with respect to each issue under consideration, and decisions will be made by our Audit Committee with respect to the foregoing related-party transactions after opportunity for discussion and review of materials. When applicable, our Audit Committee will request further information and, from time to time, will request guidance or confirmation from internal or external counsel or auditors.</w:t>
      </w:r>
    </w:p>
    <w:p>
      <w:pPr>
        <w:spacing w:after="0" w:line="78"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All related party transactions described in this section occurred prior to adoption of this policy and as such, these transactions were not subject to the approval and review procedures set forth in the policy.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Principal and selling stockholders</w:t>
      </w:r>
    </w:p>
    <w:p>
      <w:pPr>
        <w:spacing w:after="0" w:line="157" w:lineRule="exact"/>
        <w:rPr>
          <w:sz w:val="20"/>
          <w:szCs w:val="20"/>
          <w:color w:val="auto"/>
        </w:rPr>
      </w:pPr>
    </w:p>
    <w:p>
      <w:pPr>
        <w:ind w:left="120" w:right="640"/>
        <w:spacing w:after="0" w:line="239"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(1) immediately prior to the completion of this offering and (2) following the sale of common stock in this offering, by:</w:t>
      </w:r>
    </w:p>
    <w:p>
      <w:pPr>
        <w:spacing w:after="0" w:line="114" w:lineRule="exact"/>
        <w:rPr>
          <w:sz w:val="20"/>
          <w:szCs w:val="20"/>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common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selling stockholders.</w:t>
      </w:r>
    </w:p>
    <w:p>
      <w:pPr>
        <w:spacing w:after="0" w:line="10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w:t>
      </w:r>
    </w:p>
    <w:p>
      <w:pPr>
        <w:spacing w:after="0" w:line="102" w:lineRule="exact"/>
        <w:rPr>
          <w:sz w:val="20"/>
          <w:szCs w:val="20"/>
          <w:color w:val="auto"/>
        </w:rPr>
      </w:pPr>
    </w:p>
    <w:p>
      <w:pPr>
        <w:jc w:val="both"/>
        <w:ind w:left="120" w:right="720"/>
        <w:spacing w:after="0" w:line="238" w:lineRule="auto"/>
        <w:rPr>
          <w:sz w:val="20"/>
          <w:szCs w:val="20"/>
          <w:color w:val="auto"/>
        </w:rPr>
      </w:pPr>
      <w:r>
        <w:rPr>
          <w:rFonts w:ascii="Arial" w:cs="Arial" w:eastAsia="Arial" w:hAnsi="Arial"/>
          <w:sz w:val="18"/>
          <w:szCs w:val="18"/>
          <w:color w:val="auto"/>
        </w:rPr>
        <w:t>We have based our calculation of the percentage of beneficial ownership prior to this offering on shares of common stock outstanding as of immediately prior to the completion of this offering. The table below does not reflect any purchases of shares of our common stock in this offering from our existing stockholders.</w:t>
      </w:r>
    </w:p>
    <w:p>
      <w:pPr>
        <w:spacing w:after="0" w:line="100" w:lineRule="exact"/>
        <w:rPr>
          <w:sz w:val="20"/>
          <w:szCs w:val="20"/>
          <w:color w:val="auto"/>
        </w:rPr>
      </w:pPr>
    </w:p>
    <w:p>
      <w:pPr>
        <w:jc w:val="both"/>
        <w:ind w:left="120" w:right="140"/>
        <w:spacing w:after="0" w:line="281" w:lineRule="auto"/>
        <w:rPr>
          <w:sz w:val="20"/>
          <w:szCs w:val="20"/>
          <w:color w:val="auto"/>
        </w:rPr>
      </w:pPr>
      <w:r>
        <w:rPr>
          <w:rFonts w:ascii="Arial" w:cs="Arial" w:eastAsia="Arial" w:hAnsi="Arial"/>
          <w:sz w:val="16"/>
          <w:szCs w:val="16"/>
          <w:color w:val="auto"/>
        </w:rPr>
        <w:t>To our knowledge, each of the stockholders listed has sole voting and investment power with respect to the shares beneficially owned by the stockholder unless noted otherwise, subject to community property laws where applicable. Unless otherwise set forth in the footnotes to the table, the address for each listed stockholder is c/o MediaAlpha, Inc., 700 South Flower Street, Suite 640, Los Angeles, California 90017.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Shares of</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Shares of</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Shares of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Class A</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Shares of</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Class B</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Class A</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common</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Class B</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common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common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stock</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common</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stock</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Shares of</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Shares of</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stock</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Shares of</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beneficially</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Shares of</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stock</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beneficially</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Class A</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Class A</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beneficially</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Class A</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owned</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Class B</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beneficially</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owned</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Total voting</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Total voting</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common</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common</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owned</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common</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after offering</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common</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owned</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after offering</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power after</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power after</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stock</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stock offered</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after offering</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stock offered</w:t>
            </w:r>
          </w:p>
        </w:tc>
        <w:tc>
          <w:tcPr>
            <w:tcW w:w="5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with</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stock</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after offering</w:t>
            </w:r>
          </w:p>
        </w:tc>
        <w:tc>
          <w:tcPr>
            <w:tcW w:w="5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with</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offering</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offering with</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beneficially</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without</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without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with full</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full exercise</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beneficially</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without</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full exercise</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without</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full exercise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owned</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exercise of</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exercise of</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exercise of</w:t>
            </w:r>
          </w:p>
        </w:tc>
        <w:tc>
          <w:tcPr>
            <w:tcW w:w="5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of</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owned</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exercise of</w:t>
            </w:r>
          </w:p>
        </w:tc>
        <w:tc>
          <w:tcPr>
            <w:tcW w:w="5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of</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exercise of</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of</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prior to</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underwriters’</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underwriters’</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underwriters’</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underwriters’</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prior to</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underwriters’</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underwriters’</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underwriters’</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underwriters’</w:t>
            </w:r>
          </w:p>
        </w:tc>
        <w:tc>
          <w:tcPr>
            <w:tcW w:w="0" w:type="dxa"/>
            <w:vAlign w:val="bottom"/>
          </w:tcPr>
          <w:p>
            <w:pPr>
              <w:spacing w:after="0"/>
              <w:rPr>
                <w:sz w:val="1"/>
                <w:szCs w:val="1"/>
                <w:color w:val="auto"/>
              </w:rPr>
            </w:pPr>
          </w:p>
        </w:tc>
      </w:tr>
      <w:tr>
        <w:trPr>
          <w:trHeight w:val="165"/>
        </w:trPr>
        <w:tc>
          <w:tcPr>
            <w:tcW w:w="1580" w:type="dxa"/>
            <w:vAlign w:val="bottom"/>
            <w:vMerge w:val="restart"/>
          </w:tcPr>
          <w:p>
            <w:pPr>
              <w:spacing w:after="0"/>
              <w:rPr>
                <w:sz w:val="20"/>
                <w:szCs w:val="20"/>
                <w:color w:val="auto"/>
              </w:rPr>
            </w:pPr>
            <w:r>
              <w:rPr>
                <w:rFonts w:ascii="Arial" w:cs="Arial" w:eastAsia="Arial" w:hAnsi="Arial"/>
                <w:sz w:val="13"/>
                <w:szCs w:val="13"/>
                <w:b w:val="1"/>
                <w:bCs w:val="1"/>
                <w:color w:val="auto"/>
              </w:rPr>
              <w:t>Name of</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offering</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option</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option</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offering</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option</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12"/>
        </w:trPr>
        <w:tc>
          <w:tcPr>
            <w:tcW w:w="1580" w:type="dxa"/>
            <w:vAlign w:val="bottom"/>
            <w:vMerge w:val="continue"/>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beneficial owner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Number</w:t>
            </w: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Number</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Number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Number</w:t>
            </w: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Number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Number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58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Named Executive</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Officers and</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Directors:</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rPr>
                <w:sz w:val="20"/>
                <w:szCs w:val="20"/>
                <w:color w:val="auto"/>
              </w:rPr>
            </w:pPr>
            <w:r>
              <w:rPr>
                <w:rFonts w:ascii="Arial" w:cs="Arial" w:eastAsia="Arial" w:hAnsi="Arial"/>
                <w:sz w:val="13"/>
                <w:szCs w:val="13"/>
                <w:color w:val="auto"/>
              </w:rPr>
              <w:t>Steven Yi</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Eugene Nonko</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20"/>
              <w:spacing w:after="0"/>
              <w:rPr>
                <w:sz w:val="20"/>
                <w:szCs w:val="20"/>
                <w:color w:val="auto"/>
              </w:rPr>
            </w:pPr>
            <w:r>
              <w:rPr>
                <w:rFonts w:ascii="Arial" w:cs="Arial" w:eastAsia="Arial" w:hAnsi="Arial"/>
                <w:sz w:val="13"/>
                <w:szCs w:val="13"/>
                <w:color w:val="auto"/>
              </w:rPr>
              <w:t>Tigran Sinanyan</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58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All Directors and</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Executive Officers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as a Group</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(18 People)</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3"/>
                <w:szCs w:val="13"/>
                <w:b w:val="1"/>
                <w:bCs w:val="1"/>
                <w:color w:val="auto"/>
              </w:rPr>
              <w:t>Selling Stockholders: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White Mountains</w:t>
            </w:r>
            <w:r>
              <w:rPr>
                <w:rFonts w:ascii="Arial" w:cs="Arial" w:eastAsia="Arial" w:hAnsi="Arial"/>
                <w:sz w:val="17"/>
                <w:szCs w:val="17"/>
                <w:color w:val="auto"/>
                <w:vertAlign w:val="superscript"/>
              </w:rPr>
              <w:t>(1)</w:t>
            </w: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220"/>
              <w:spacing w:after="0" w:line="216" w:lineRule="exact"/>
              <w:rPr>
                <w:sz w:val="20"/>
                <w:szCs w:val="20"/>
                <w:color w:val="auto"/>
              </w:rPr>
            </w:pPr>
            <w:r>
              <w:rPr>
                <w:rFonts w:ascii="Arial" w:cs="Arial" w:eastAsia="Arial" w:hAnsi="Arial"/>
                <w:sz w:val="13"/>
                <w:szCs w:val="13"/>
                <w:color w:val="auto"/>
              </w:rPr>
              <w:t>Insignia</w:t>
            </w:r>
            <w:r>
              <w:rPr>
                <w:rFonts w:ascii="Arial" w:cs="Arial" w:eastAsia="Arial" w:hAnsi="Arial"/>
                <w:sz w:val="22"/>
                <w:szCs w:val="22"/>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58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Other Greater Than 5%</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Stockholders</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rPr>
                <w:sz w:val="20"/>
                <w:szCs w:val="20"/>
                <w:color w:val="auto"/>
              </w:rPr>
            </w:pPr>
            <w:r>
              <w:rPr>
                <w:rFonts w:ascii="Arial" w:cs="Arial" w:eastAsia="Arial" w:hAnsi="Arial"/>
                <w:sz w:val="13"/>
                <w:szCs w:val="13"/>
                <w:color w:val="auto"/>
              </w:rPr>
              <w:t>Ambrose Wang</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40" w:right="240" w:hanging="324"/>
        <w:spacing w:after="0" w:line="245" w:lineRule="auto"/>
        <w:tabs>
          <w:tab w:leader="none" w:pos="4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Bridge Holdings (Bermuda) Ltd. and White Mountains Investments (Luxembourg) S.à r.l., both of which are wholly owned subsidiaries of White Mountains Insurance Group Ltd. The board of directors and senior officers of White Mountains Insurance Group Ltd. exercise joint voting and investment control over the securities held by Bridge Holdings (Bermuda) Ltd. and White Mountains Investments (Luxembourg) S.à r.l. The members of such board of directors and such senior officers disclaim beneficial ownership with respect to such securities. The principal business address for White Mountains is 23 South Main Street, Suite 3B, Hanover, NH 03755.</w:t>
      </w:r>
    </w:p>
    <w:p>
      <w:pPr>
        <w:spacing w:after="0" w:line="51" w:lineRule="exact"/>
        <w:rPr>
          <w:rFonts w:ascii="Arial" w:cs="Arial" w:eastAsia="Arial" w:hAnsi="Arial"/>
          <w:sz w:val="13"/>
          <w:szCs w:val="13"/>
          <w:color w:val="auto"/>
        </w:rPr>
      </w:pPr>
    </w:p>
    <w:p>
      <w:pPr>
        <w:ind w:left="440" w:right="260" w:hanging="324"/>
        <w:spacing w:after="0" w:line="245" w:lineRule="auto"/>
        <w:tabs>
          <w:tab w:leader="none" w:pos="4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Reflects shares of Class B common stock held directly by Insignia A QL Holdings, LLC (“Insignia A”) and Insignia QL Holdings, LLC (“Insignia QL”). Insignia Capital Partners (Parallel A), L.P. (“Parallel A”) and Insignia Capital Partners (AIV), L.P. (“Insignia AIV”) are members of Insignia A having the power to appoint the majority of the board of managers of Insignia A. Insignia Capital Partners, L.P. (“Insignia Capital” and together with Parallel A and Insignia AIV, the “Insignia Fund”) is the managing member of Insignia QL. Insignia Capital Partners GP, LLC (“Insignia GP”) is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0" w:lineRule="exact"/>
        <w:rPr>
          <w:sz w:val="20"/>
          <w:szCs w:val="20"/>
          <w:color w:val="auto"/>
        </w:rPr>
      </w:pPr>
    </w:p>
    <w:p>
      <w:pPr>
        <w:jc w:val="both"/>
        <w:ind w:left="440"/>
        <w:spacing w:after="0" w:line="243" w:lineRule="auto"/>
        <w:rPr>
          <w:sz w:val="20"/>
          <w:szCs w:val="20"/>
          <w:color w:val="auto"/>
        </w:rPr>
      </w:pPr>
      <w:r>
        <w:rPr>
          <w:rFonts w:ascii="Arial" w:cs="Arial" w:eastAsia="Arial" w:hAnsi="Arial"/>
          <w:sz w:val="13"/>
          <w:szCs w:val="13"/>
          <w:color w:val="auto"/>
        </w:rPr>
        <w:t>the general partner of the Insignia Fund. The three member Investment Committee of Insignia GP comprised of David Lowe, Anthony Broglio and Melvyn Deane exercises voting and investment control over the securities held directly by Insignia A and Insignia QL, which acts by a majority vote of its members. Consequently, the Insignia Fund and Insignia GP may be deemed to beneficially own the securities held directly by Insignia A and Insignia QL. Messrs. Lowe, Broglio and Deane disclaim beneficial ownership of the securities held directly by Insignia A and Insignia QL. The principal business address of Insignia A, Insignia QL, the Insignia Fund and Insignia GP is 1333 North California Boulevard, Suite 520, Walnut Creek, CA, 94596.</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320" w:top="459"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Description of certain indebtedness</w:t>
      </w:r>
    </w:p>
    <w:p>
      <w:pPr>
        <w:spacing w:after="0" w:line="13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i w:val="1"/>
          <w:iCs w:val="1"/>
          <w:color w:val="auto"/>
        </w:rPr>
        <w:t>The following is a summary of the material terms of certain indebtedness of us and our subsidiaries. The summary is qualified in its entirety by reference to the full text of the agreements governing the terms of such indebtedness, which are filed as exhibits to the registration statement of which this prospectus is a part.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Senior secured credit facilities</w:t>
      </w:r>
    </w:p>
    <w:p>
      <w:pPr>
        <w:spacing w:after="0" w:line="134"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On September 23, 2020, QuoteLab, LLC entered into the 2020 Credit Agreement with JPMorgan Chase Bank, N.A., as lender and administrative agent, and the other lenders from time to time party thereto, providing for the 2020 Credit Facilities consisting of (i) a $210.0 million term loan facility and (ii) a $5.0 million revolving credit facility. Proceeds from the 2020 Term Loan Facility were used to refinance the 2019 Credit Facilities and pay related fees and expenses and fund a distribution to equity holders of QL Holdings LLC. The 2020 Revolving Credit Facility is available for general corporate purposes and includes a letter of credit sub-facility of up to $2.5 million. The 2020 Credit Facilities also include an uncommitted incremental facility, which, subject to certain conditions, provides for additional term loan facilities, an increase in commitments under the 2020 Term Loan Facility and/or an increase in commitments under the 2020 Revolving Credit Facility, in an aggregate amount of up to $50.0 million.</w:t>
      </w:r>
    </w:p>
    <w:p>
      <w:pPr>
        <w:sectPr>
          <w:pgSz w:w="11900" w:h="16838" w:orient="portrait"/>
          <w:cols w:equalWidth="0" w:num="1">
            <w:col w:w="11120"/>
          </w:cols>
          <w:pgMar w:left="320" w:top="459" w:right="459" w:bottom="1440" w:gutter="0" w:footer="0" w:header="0"/>
        </w:sectPr>
      </w:pPr>
    </w:p>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As of March , 2021, the aggregate principal amount of the 2020 Term Loan Facility was $ under the 2020 Revolving Credit Facility was $5.0 million.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million and our borrowing capacity</w:t>
      </w:r>
    </w:p>
    <w:p>
      <w:pPr>
        <w:spacing w:after="0" w:line="417" w:lineRule="exact"/>
        <w:rPr>
          <w:sz w:val="20"/>
          <w:szCs w:val="20"/>
          <w:color w:val="auto"/>
        </w:rPr>
      </w:pPr>
    </w:p>
    <w:p>
      <w:pPr>
        <w:sectPr>
          <w:pgSz w:w="11900" w:h="16838" w:orient="portrait"/>
          <w:cols w:equalWidth="0" w:num="2">
            <w:col w:w="7600" w:space="640"/>
            <w:col w:w="28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2020 Term Loan Facility bears interest on the outstanding principal amount thereof at a rate per annum equal to either, at our option,</w:t>
      </w:r>
    </w:p>
    <w:p>
      <w:pPr>
        <w:ind w:left="120" w:right="120" w:hanging="4"/>
        <w:spacing w:after="0" w:line="236" w:lineRule="auto"/>
        <w:tabs>
          <w:tab w:leader="none" w:pos="383"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LIBOR plus the applicable margin, subject to a LIBOR floor of 0.50% per annum, or (b) a base rate plus the applicable margin. The 2020 Revolving Credit Facility accrues interest on amounts drawn at a rate per annum equal to either, at our option, (a) LIBOR plus the applicable margin, subject to a LIBOR floor of 0.50% per annum, or (b) a base rate plus the applicable margin. The applicable margin at any time is determined based upon the Consolidated Total Net Leverage Ratio (as defined in the 2020 Credit Agreement) at such time, and ranges from 3.25% per annum to 3.75% per annum, in the case of loans bearing interest by reference to LIBOR, and 2.25% per annum to 2.75% per annum in the case of loans bearing interest by reference to base rate. The 2020 Credit Agreement provides for the establishment of a replacement rate to LIBOR in the event LIBOR is phased-out.</w:t>
      </w:r>
    </w:p>
    <w:p>
      <w:pPr>
        <w:spacing w:after="0" w:line="101"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QuoteLab, LLC is required to repay the 2020 Term Loan Facility, commencing with the quarter ended December 31, 2020, in equal quarterly installments in an aggregate annual amount equal to 5% of the initial aggregate amount of the 2020 Term Loan Facility, with the balance payable on the maturity date, which is September 23, 2023 (or, if such date is not a business day, the first business day following such date).</w:t>
      </w:r>
    </w:p>
    <w:p>
      <w:pPr>
        <w:spacing w:after="0" w:line="6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to paying interest on outstanding principal amounts under the 2020 Credit Facilities, QuoteLab, LLC is required to pay a commitment fee, determined at any time based upon the Consolidated Total Net Leverage Ratio at such time, on the average daily amount of the undrawn commitments under the 2020 Revolving Credit Facility. The commitment fee ranges from 0.25% per annum to 0.50% per annum. QuoteLab, LLC is also required to pay customary letter of credit fees.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exceptions and limitations, QuoteLab, LLC is required to prepay the 2020 Term Loan Facility with:</w:t>
      </w:r>
    </w:p>
    <w:p>
      <w:pPr>
        <w:spacing w:after="0" w:line="117"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 of the net cash proceeds from non-permitted debt incurrences;</w:t>
      </w:r>
    </w:p>
    <w:p>
      <w:pPr>
        <w:spacing w:after="0" w:line="117" w:lineRule="exact"/>
        <w:rPr>
          <w:rFonts w:ascii="Arial" w:cs="Arial" w:eastAsia="Arial" w:hAnsi="Arial"/>
          <w:sz w:val="18"/>
          <w:szCs w:val="18"/>
          <w:color w:val="auto"/>
        </w:rPr>
      </w:pPr>
    </w:p>
    <w:p>
      <w:pPr>
        <w:ind w:left="540" w:hanging="424"/>
        <w:spacing w:after="0" w:line="239"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 of the net cash proceeds from certain non-ordinary course asset sales or from a casualty or condemnation recovery event, subject to customary exceptions and reinvestment rights; and</w:t>
      </w:r>
    </w:p>
    <w:p>
      <w:pPr>
        <w:spacing w:after="0" w:line="114" w:lineRule="exact"/>
        <w:rPr>
          <w:rFonts w:ascii="Arial" w:cs="Arial" w:eastAsia="Arial" w:hAnsi="Arial"/>
          <w:sz w:val="18"/>
          <w:szCs w:val="18"/>
          <w:color w:val="auto"/>
        </w:rPr>
      </w:pPr>
    </w:p>
    <w:p>
      <w:pPr>
        <w:ind w:left="540" w:right="400" w:hanging="424"/>
        <w:spacing w:after="0" w:line="239"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50% of annual Excess Cash Flow (as defined in the 2020 Credit Agreement), subject to certain step-downs (determined at any time based upon the Consolidated Total Net Leverage Ratio at such time) and customary exceptions.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 and Guarantees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obligations under the 2020 Credit Facilities are guaranteed by QL Holdings LLC and the domestic subsidiaries of QuoteLab, LLC, subject to certain exceptions. All obligations under the 2020 Credit Facilities and the related guarantees are secured by a first priority lien on substantially all of the tangible and intangible assets of QuoteLab, LLC and the guarantors under the 2020 Credit Agreement (including, without limitation, all of the equity interests in QuoteLab, LLC held by QL Holdings LLC), in each case, subject to permitted liens and certain exceptions.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Covenants</w:t>
      </w:r>
    </w:p>
    <w:p>
      <w:pPr>
        <w:spacing w:after="0" w:line="124" w:lineRule="exact"/>
        <w:rPr>
          <w:sz w:val="20"/>
          <w:szCs w:val="20"/>
          <w:color w:val="auto"/>
        </w:rPr>
      </w:pPr>
    </w:p>
    <w:p>
      <w:pPr>
        <w:ind w:left="120" w:right="60"/>
        <w:spacing w:after="0" w:line="268" w:lineRule="auto"/>
        <w:rPr>
          <w:sz w:val="20"/>
          <w:szCs w:val="20"/>
          <w:color w:val="auto"/>
        </w:rPr>
      </w:pPr>
      <w:r>
        <w:rPr>
          <w:rFonts w:ascii="Arial" w:cs="Arial" w:eastAsia="Arial" w:hAnsi="Arial"/>
          <w:sz w:val="16"/>
          <w:szCs w:val="16"/>
          <w:color w:val="auto"/>
        </w:rPr>
        <w:t>The 2020 Credit Agreement contains customary affirmative and negative covenants, including limitations on indebtedness (including guarantee obligations); limitations on liens; limitations on restricted payments; limitations on acquisitions, investments, loans and advances; limitations on sales, dispositions or other transfers of assets; limitations on optional payments and modifications of subordinated debt in a manner that materially adversely affects the rights of the lenders; limitations on transactions with affiliates; limitations on changes in fiscal year; limitations on changes in lines of business; limitations on use of proceeds to ensure compliance with OFAC and conduct of business to comply with FCPA; and a passive holding company covenant applicable to QL Holdings LLC. In addition, the 2020 Credit Agreement contains two financial maintenance covenants, which are tested for each Test Period (as defined in the 2020 Credit Agreement), commencing with the Test Period ended December 31, 2020, requiring that (a) the Consolidated Total Net Leverage Ratio not exceed a range starting at 4.50:1.00 as of the last day of the first applicable Test Period and ending at 3.00:1.00 as of the last day of the last applicable Test Period and (b) the Consolidated Fixed Charge Coverage Ratio (as defined in the 2020 Credit Agreement) not be less than 1.15:1.00.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2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Events of default under the 2020 Credit Agreement include, among other things, nonpayment of principal when due; nonpayment of interest, fees or other amounts after a grace period; material inaccuracy of representations and warranties; violation of covenants (subject, in the case of certain affirmative covenants, to a grace period); cross-event of default to material debt; bankruptcy events; certain ERISA events; material judgments; change of control; and actual or asserted invalidity of the 2020 Credit Agreement and non-perfection of the security interest on any material portion of the collateral.</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Description of capital stock</w:t>
      </w:r>
    </w:p>
    <w:p>
      <w:pPr>
        <w:spacing w:after="0" w:line="157"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The following description summarizes the most important terms of our capital stock, which terms are set forth in our amended and restated certificate of incorporation and amended and restated bylaws. This description is not complete and is qualified by reference to the full text of our amended and restated certificate of incorporation and amended and restated bylaws, copies of which are filed as exhibits to the registration statement of which this prospectus is a part, as well as the applicable provisions of the DGCL.</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For a description of the most important terms of the Class A-1 units and Class B-1 units of QL Holdings LLC, see “Organizational structure— Fourth amended and restated limited liability company agreement of QL Holdings LLC.” These descriptions are not complete and are qualified by reference to the full text of the fourth amended and restated limited liability company agreement of QL Holdings LLC, a copy of which is filed as an exhibit to the registration statement of which this prospectus is a part, as well as the applicable provisions of the Delaware Limited Liability Company Act.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Our authorized capital stock will consist of 1,000,000,000 shares of Class A common stock, par value $0.01 per share, 100,000,000 shares of Class B common stock, par value $0.01 per share and 50,000,000 shares of preferred stock, par value $0.01 per share.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 A common stock</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common stock outstanding</w:t>
      </w:r>
    </w:p>
    <w:p>
      <w:pPr>
        <w:spacing w:after="0" w:line="122"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After the completion of this offering, White Mountains will beneficially own approximately % of our outstanding Class A common stock (assuming no exercise of the underwriters’ option to purchase additional shares). There will be shares of Class A common stock</w:t>
      </w:r>
    </w:p>
    <w:p>
      <w:pPr>
        <w:spacing w:after="0" w:line="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outstanding, assuming no exercise of the underwriters’ option to purchase additional shares, after giving effect to the sale of the shares of Class A common stock offered hereby. All outstanding shares of Class A common stock are fully paid and non-assessable, and the shares of Class A common stock to be issued upon the completion of this offering will be fully paid and non-assessable.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The holders of Class A common stock are entitled to one vote per share on all matters to be voted upon by the stockholders. The holders of our Class A common stock and Class B common stock will vote together as a single class on all matters (including the election of directors) submitted to a vote of stockholders, unless otherwise required by law. Delaware law would require holders of our Class A common stock and Class B common stock to vote separately as a single class in the following circumstances:</w:t>
      </w:r>
    </w:p>
    <w:p>
      <w:pPr>
        <w:spacing w:after="0" w:line="114" w:lineRule="exact"/>
        <w:rPr>
          <w:sz w:val="20"/>
          <w:szCs w:val="20"/>
          <w:color w:val="auto"/>
        </w:rPr>
      </w:pPr>
    </w:p>
    <w:p>
      <w:pPr>
        <w:ind w:left="340" w:right="420" w:hanging="224"/>
        <w:spacing w:after="0" w:line="239"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amend our amended and restated certificate of incorporation to increase or decrease the par value of a class of stock, then such class would be required to vote separately to approve the proposed amendment; or</w:t>
      </w:r>
    </w:p>
    <w:p>
      <w:pPr>
        <w:spacing w:after="0" w:line="114" w:lineRule="exact"/>
        <w:rPr>
          <w:rFonts w:ascii="Arial" w:cs="Arial" w:eastAsia="Arial" w:hAnsi="Arial"/>
          <w:sz w:val="18"/>
          <w:szCs w:val="18"/>
          <w:color w:val="auto"/>
        </w:rPr>
      </w:pPr>
    </w:p>
    <w:p>
      <w:pPr>
        <w:ind w:left="340" w:right="240" w:hanging="224"/>
        <w:spacing w:after="0" w:line="238"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Subject to preferences that may be applicable to any outstanding preferred stock, the holders of Class A common stock are entitled to receive ratably such dividends, if any, as may be declared from time to time by our Board of Directors out of funds legally available therefor. See “Dividend policy.”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upon liquidation</w:t>
      </w:r>
    </w:p>
    <w:p>
      <w:pPr>
        <w:spacing w:after="0" w:line="122"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In the event of liquidation, dissolution or winding up of our Company, the holders of Class A common stock are entitled to share ratably in all assets remaining after payment of liabilities, subject to prior distribution rights of preferred stock, if any, then outstanding.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rights</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holders of our Class A common stock have no preemptive or conversion rights or other subscription rights. There are no redemption or sinking fund provisions applicable to the Class A common stock. The rights, preferences and privileges of holders of our common stock will be subject to those of the holders of any shares of our preferred stock we may issue in the future.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 B common stock</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B common stock outstanding</w:t>
      </w:r>
    </w:p>
    <w:p>
      <w:pPr>
        <w:spacing w:after="0" w:line="122" w:lineRule="exact"/>
        <w:rPr>
          <w:sz w:val="20"/>
          <w:szCs w:val="20"/>
          <w:color w:val="auto"/>
        </w:rPr>
      </w:pPr>
    </w:p>
    <w:p>
      <w:pPr>
        <w:ind w:left="120" w:right="160"/>
        <w:spacing w:after="0" w:line="234" w:lineRule="auto"/>
        <w:rPr>
          <w:sz w:val="20"/>
          <w:szCs w:val="20"/>
          <w:color w:val="auto"/>
        </w:rPr>
      </w:pPr>
      <w:r>
        <w:rPr>
          <w:rFonts w:ascii="Arial" w:cs="Arial" w:eastAsia="Arial" w:hAnsi="Arial"/>
          <w:sz w:val="18"/>
          <w:szCs w:val="18"/>
          <w:color w:val="auto"/>
        </w:rPr>
        <w:t>After the completion of this offering, Insignia will beneficially own approximately % of our outstanding Class B common stock and the Senior Executives will beneficially own an aggregate of approximately % of our outstanding Class B common stock (assuming no</w:t>
      </w:r>
    </w:p>
    <w:p>
      <w:pPr>
        <w:spacing w:after="0" w:line="1"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exercise of the underwriters’ option to purchase additional shares). Shares of our Class B common stock are issuable only in connection with the corresponding issuance of an equal number of Class B-1 units of QL Holdings LLC. When a Class B-1 unit is issued by QL Holdings LLC, we will issue the holder of such Class B-1 unit one share of our Class B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rights</w:t>
      </w:r>
    </w:p>
    <w:p>
      <w:pPr>
        <w:spacing w:after="0" w:line="122"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Each share of our Class B common stock will be redeemed and cancelled by us if the holder exchanges one Class B-1 unit of QL Holdings LLC, together with the corresponding share of Class B common stock, for one share of Class A common stock (or, at our election, cash of an equivalent value) pursuant to the terms of the exchange agreement, the form of which will be filed as an exhibit to the registration statement of which this prospectus forms a part. Shares of Class B common stock are not transferable except together with an equal number of Class B-1 units. See “Organizational structure—Fourth amended and restated limited liability company of QL Holdings LLC—Exchange agreement.”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The holders of Class B common stock are entitled to one vote for each share on all matters voted upon by our stockholders. The holders of our Class A common stock and Class B common stock will vote together as a single class on all matters (including the election of directors) submitted to a vote of stockholders, unless otherwise required by law. Delaware law would require holders of our Class A common stock and Class B common stock to vote separately as a single class in the following circumstances:</w:t>
      </w:r>
    </w:p>
    <w:p>
      <w:pPr>
        <w:spacing w:after="0" w:line="114" w:lineRule="exact"/>
        <w:rPr>
          <w:sz w:val="20"/>
          <w:szCs w:val="20"/>
          <w:color w:val="auto"/>
        </w:rPr>
      </w:pPr>
    </w:p>
    <w:p>
      <w:pPr>
        <w:ind w:left="340" w:right="420" w:hanging="224"/>
        <w:spacing w:after="0" w:line="239"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amend our amended and restated certificate of incorporation to increase or decrease the par value of a class of stock, then such class would be required to vote separately to approve the proposed amendment; or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240" w:hanging="224"/>
        <w:spacing w:after="0" w:line="238"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our Class B common stock will not participate in any cash dividends declared by our Board of Directors.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upon liquidation</w:t>
      </w:r>
    </w:p>
    <w:p>
      <w:pPr>
        <w:spacing w:after="0" w:line="12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holders of our Class B common stock will not be entitled to receive any of our assets in the event of any dissolution, liquidation or winding up of our affairs, whether voluntary or involuntary.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rights</w:t>
      </w:r>
    </w:p>
    <w:p>
      <w:pPr>
        <w:spacing w:after="0" w:line="122"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In the event of our merger or consolidation with or into another company in connection with which shares of Class A common stock and Class B common stock (together with the corresponding Class B-1 units of QL Holdings LLC) are converted into, or become exchangeable for, shares of stock, other securities or property (including cash), each holder of our Class B common stock will be entitled to receive for each share of Class B common stock the same number of shares of stock as is received by holders of our Class A common stock for each share of Class A common stock, and will not be entitled, for each share of Class B common stock, to receive other securities or property (including cash). No shares of Class B common stock will have preemptive rights to purchase additional shares of Class B common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Under the terms of our amended and restated certificate of incorporation, our Board of Directors has the authority to issue shares of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MediaAlpha, Inc. without further action by the stockholders and may adversely affect the voting and other rights of the holders of Class A common stock. At present, we have no plans to issue any preferred stock.</w:t>
      </w:r>
    </w:p>
    <w:p>
      <w:pPr>
        <w:spacing w:after="0" w:line="172" w:lineRule="exact"/>
        <w:rPr>
          <w:sz w:val="20"/>
          <w:szCs w:val="20"/>
          <w:color w:val="auto"/>
        </w:rPr>
      </w:pPr>
    </w:p>
    <w:p>
      <w:pPr>
        <w:ind w:left="120" w:right="740"/>
        <w:spacing w:after="0" w:line="261" w:lineRule="auto"/>
        <w:rPr>
          <w:sz w:val="20"/>
          <w:szCs w:val="20"/>
          <w:color w:val="auto"/>
        </w:rPr>
      </w:pPr>
      <w:r>
        <w:rPr>
          <w:rFonts w:ascii="Arial" w:cs="Arial" w:eastAsia="Arial" w:hAnsi="Arial"/>
          <w:sz w:val="22"/>
          <w:szCs w:val="22"/>
          <w:b w:val="1"/>
          <w:bCs w:val="1"/>
          <w:color w:val="auto"/>
        </w:rPr>
        <w:t>Anti-takeover effects of various provisions of our amended and restated certificate of incorporation, amended and restated bylaws and stockholders’ agreement</w:t>
      </w:r>
    </w:p>
    <w:p>
      <w:pPr>
        <w:spacing w:after="0" w:line="79"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Some provisions of our amended and restated certificate of incorporation, amended and restated bylaws and stockholders’ agreement could make the following more difficult:</w:t>
      </w:r>
    </w:p>
    <w:p>
      <w:pPr>
        <w:spacing w:after="0" w:line="114" w:lineRule="exact"/>
        <w:rPr>
          <w:sz w:val="20"/>
          <w:szCs w:val="20"/>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These provisions, as well as our ability to issue “blank check” preferred stock, are designed to discourage coercive takeover practices and inadequate takeover bids. These provisions are also designed to encourage persons seeking to acquire control of us to first negotiate with our Board of Directors. We believe that the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Classified board of directors; election and removal of directors; vacancies</w:t>
      </w:r>
    </w:p>
    <w:p>
      <w:pPr>
        <w:spacing w:after="0" w:line="122"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Board of Directors consists of nine directors, excluding any directors elected by holders of any preferred stock pursuant to provisions applicable in the case of defaults and subject to applicable laws and stock exchange regulations. The exact number of directors is fixed from time to time by resolution of the board. In accordance with our amended and restated certificate of incorporation and our amended and restated bylaws, our Board of Directors is divided into three staggered classes of directors, as nearly equal in number as possible. At each annual meeting of our stockholders, our stockholders elect a class of directors for a three-year term to succeed the directors of the same class whose terms are then expiring. As a result, a portion of our Board of Directors will be elected each year. There is no limit on the number of terms a director may serve on our Board of Directors. The division of our Board of Directors into three classes with staggered three-year terms may have the effect of discouraging, delaying or preventing a transaction involving a change in control.</w:t>
      </w:r>
    </w:p>
    <w:p>
      <w:pPr>
        <w:spacing w:after="0" w:line="100"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Pursuant to the stockholders’ agreement we entered into with White Mountains, Insignia, and the Founders in connection with our IPO, for so long as each of White Mountains, Insignia, and the Founders (treating the Founders as a single stockholder for this purpose) owns at least</w:t>
      </w:r>
    </w:p>
    <w:p>
      <w:pPr>
        <w:ind w:left="120" w:right="200"/>
        <w:spacing w:after="0" w:line="237" w:lineRule="auto"/>
        <w:rPr>
          <w:sz w:val="20"/>
          <w:szCs w:val="20"/>
          <w:color w:val="auto"/>
        </w:rPr>
      </w:pPr>
      <w:r>
        <w:rPr>
          <w:rFonts w:ascii="Arial" w:cs="Arial" w:eastAsia="Arial" w:hAnsi="Arial"/>
          <w:sz w:val="18"/>
          <w:szCs w:val="18"/>
          <w:color w:val="auto"/>
        </w:rPr>
        <w:t>12.5% of the issued and outstanding shares of common stock as of the closing of our IPO, such stockholder will be entitled to nominate two directors to serve on our Board of Directors. When such stockholder owns less than 12.5% but at least 5% of the issued and outstanding shares of common stock as of the closing of our IPO, such stockholder will be entitled to nominate one director. White Mountains, Insignia, and the Founders have agreed in the stockholders’ agreement to vote for each other’s board nominees.</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 prior to the date on which White Mountains, Insignia, and the Founders cease to collectively own at least a majority in voting power of all shares entitled to vote generally in the election of directors, directors may be removed with or without cause upon the affirmative vote of holders of at least a majority of the voting power of all the then outstanding shares of stock entitled to vote generally in the election of directors, and (b) on and after the date on which White Mountains, Insignia, and the Founders cease to collectively own at least a majority in voting power of all outstanding shares entitled to vote generally in the election of directors, directors may be removed only for cause and only upon the affirmative vote of holders of at least 75% of the voting power of all the then outstanding shares of stock entitled to vote generally in the election of directors, voting together as a single class.</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addition, our amended and restated certificate of incorporation provides that any newly-created directorship on the Board of Directors that results from an increase in the number of directors and any vacancy occurring on the Board of Directors shall be filled only by a majority of the directors then in office, although less than a quorum, or by a sole remaining director.</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Approvals of White Mountains, Insignia, and the Founders</w:t>
      </w:r>
    </w:p>
    <w:p>
      <w:pPr>
        <w:spacing w:after="0" w:line="122"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Under the stockholders’ agreement and subject to our amended and restated certificate of incorporation, our amended and restated bylaws and applicable law, certain actions cannot be taken by us without the prior written consent of a majority in interest of White Mountains, Insignia, and the Founders, for so long as such stockholders continue to own at least a majority of the issued and outstanding shares of common stock. These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actions include, among others, increasing or decreasing the size of the board and engaging in change in control transactions. The requirement to seek approval from White Mountains, Insignia, and the Founders may have the effect of discouraging, delaying or preventing a transaction involving a change in control. See “Organizational structure—Stockholders’ agreement” for more information.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cumulative voting</w:t>
      </w:r>
    </w:p>
    <w:p>
      <w:pPr>
        <w:spacing w:after="0" w:line="12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DGCL provides that stockholders are not entitled to the right to cumulate votes in the election of directors unless our amended and restated certificate of incorporation provides otherwise. Our amended and restated certificate of incorporation does not authorize cumulative voting.</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Limits on stockholder action by written consent</w:t>
      </w:r>
    </w:p>
    <w:p>
      <w:pPr>
        <w:spacing w:after="0" w:line="12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DGCL permits stockholder action by written consent unless otherwise provided by our amended and restated certificate of incorporation. Our amended and restated certificate of incorporation permits stockholder action by written consent, but precludes stockholder action by written consent after the date on which White Mountains, Insignia, and the Founders cease to collectively own at least a majority in voting power of all shares entitled to vote generally in the election of our directors.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stockholder meetings</w:t>
      </w:r>
    </w:p>
    <w:p>
      <w:pPr>
        <w:spacing w:after="0" w:line="122"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special meetings of stockholders may be called only by or at the direction of the Board of Directors, the chairman of the Board of Directors, the chief executive officer or, so long as White Mountains, Insignia, and the Founders collectively own at least a majority in voting power of shares of our common stock, any such stockholder, subject to certain limitations. Our amended and restated certificate of incorporation and our amended and restated bylaws specifically deny any power of any other person to call a special meeting.</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amended and restated certificate of incorporation</w:t>
      </w:r>
    </w:p>
    <w:p>
      <w:pPr>
        <w:spacing w:after="0" w:line="12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affirmative vote of holders of at least a majority of the voting power of our outstanding shares of stock is generally required to amend provisions of our amended and restated certificate of incorporation.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amend certain provisions of our amended and restated certificate of incorporation.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amended and restated bylaws</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amended and restated bylaws may generally be altered, amended or repealed, and new bylaws may be adopted, by the affirmative vote of a majority of directors present at any regular or special meeting of the Board of Directors called for that purpose or by the affirmative vote of holders of at least a majority of the voting power of our outstanding shares of voting stock.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alter, amend or repeal any provision of our amended and restated bylaws, or adopt new bylaws.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on stockholder actions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bylaws also impose some procedural requirements on stockholders who wish to:</w:t>
      </w:r>
    </w:p>
    <w:p>
      <w:pPr>
        <w:spacing w:after="0" w:line="117" w:lineRule="exact"/>
        <w:rPr>
          <w:sz w:val="20"/>
          <w:szCs w:val="20"/>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propose any repeal or change in our amended and restated bylaws;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meeting of stockholders.</w:t>
      </w:r>
    </w:p>
    <w:p>
      <w:pPr>
        <w:spacing w:after="0" w:line="10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114" w:lineRule="exact"/>
        <w:rPr>
          <w:sz w:val="20"/>
          <w:szCs w:val="20"/>
          <w:color w:val="auto"/>
        </w:rPr>
      </w:pPr>
    </w:p>
    <w:p>
      <w:pPr>
        <w:ind w:left="340" w:hanging="224"/>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description of the business or nomination to be brought before the meeting and the reasons for conducting such business at the meeting;</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 and</w:t>
      </w:r>
    </w:p>
    <w:p>
      <w:pPr>
        <w:spacing w:after="0" w:line="117" w:lineRule="exact"/>
        <w:rPr>
          <w:rFonts w:ascii="Arial" w:cs="Arial" w:eastAsia="Arial" w:hAnsi="Arial"/>
          <w:sz w:val="18"/>
          <w:szCs w:val="18"/>
          <w:color w:val="auto"/>
        </w:rPr>
      </w:pPr>
    </w:p>
    <w:p>
      <w:pPr>
        <w:ind w:left="340" w:right="780" w:hanging="224"/>
        <w:spacing w:after="0" w:line="239"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17" w:lineRule="exact"/>
        <w:rPr>
          <w:sz w:val="20"/>
          <w:szCs w:val="20"/>
          <w:color w:val="auto"/>
        </w:rPr>
      </w:pPr>
    </w:p>
    <w:p>
      <w:pPr>
        <w:ind w:left="340" w:right="160" w:hanging="224"/>
        <w:spacing w:after="0" w:line="236"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connection with an annual meeting of stockholders, not less than 90 nor more than 120 days prior to the month and day corresponding to the date on which the annual meeting of stockholders was held in the immediately preceding year, but in the event that the date of the annual meeting is more than 30 days before or more than 30 days after the anniversary date of the preceding annual meeting of stockholders, a stockholder notice will be timely if received by us not later than the close of business on the 10th day following the day on which we first publicly announce the date of the annual meeting; or</w:t>
      </w:r>
    </w:p>
    <w:p>
      <w:pPr>
        <w:spacing w:after="0" w:line="116" w:lineRule="exact"/>
        <w:rPr>
          <w:rFonts w:ascii="Arial" w:cs="Arial" w:eastAsia="Arial" w:hAnsi="Arial"/>
          <w:sz w:val="18"/>
          <w:szCs w:val="18"/>
          <w:color w:val="auto"/>
        </w:rPr>
      </w:pPr>
    </w:p>
    <w:p>
      <w:pPr>
        <w:ind w:left="340" w:right="20" w:hanging="224"/>
        <w:spacing w:after="0" w:line="236"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not less than 40 nor more than 60 days prior to the date of the special meeting, but in the event that less than 50 days’ notice or prior public disclosure of the date of the special meeting of the stockholders is given or made 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order to submit a nomination for our Board of Directors, a stockholder must also submit any information with respect to the nominee that we would be required to be included in a proxy statement, as well as certain other information. If a stockholder fails to follow the required procedures, the stockholder’s proposal or nominee will be ineligible and will not be voted on by our stockholders. These provisions may deter, delay or discourage a potential acquirer from conducting a solicitation of proxies to elect the acquirer’s own slate of directors or otherwise attempting to influence or obtain control of the Company.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Authorized but unissued shares</w:t>
      </w:r>
    </w:p>
    <w:p>
      <w:pPr>
        <w:spacing w:after="0" w:line="122"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context, tender offer, merger, or otherwise.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 business combination statute</w:t>
      </w:r>
    </w:p>
    <w:p>
      <w:pPr>
        <w:spacing w:after="0" w:line="12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elected in our amended and restated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contains provisions that have the same effect as Section 203, except that they will provide that each of White Mountains, Insignia, and the Founders and their respective affiliates and transferees will not be deemed to be “interested stockholders,” regardless of the percentage of our voting stock owned by them, and accordingly will not be subject to such restrictions.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 of liability of directors and officers</w:t>
      </w:r>
    </w:p>
    <w:p>
      <w:pPr>
        <w:spacing w:after="0" w:line="1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amended and restated certificate of incorporation provides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113" w:lineRule="exact"/>
        <w:rPr>
          <w:sz w:val="20"/>
          <w:szCs w:val="20"/>
          <w:color w:val="auto"/>
        </w:rPr>
      </w:pPr>
    </w:p>
    <w:p>
      <w:pPr>
        <w:ind w:left="340" w:hanging="224"/>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these provisions will not reduce our indemnification obligations relating to actions taken before an amendment.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opportunity</w:t>
      </w:r>
    </w:p>
    <w:p>
      <w:pPr>
        <w:spacing w:after="0" w:line="134"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Our amended and restated certificate of incorporation and stockholders’ agreement provide that each of White Mountains, Insignia, and the Founders and their respective affiliates do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 person, or otherwise does not communicate information regarding such corporate opportunity to us, and we will waive and renounce any claim that such business opportunity constituted a corporate opportunity that should have been presented to us.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Forum selection</w:t>
      </w:r>
    </w:p>
    <w:p>
      <w:pPr>
        <w:spacing w:after="0" w:line="13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on our behalf, any action asserting a claim of breach of a fiduciary duty owed by any of our directors, officers or other employees to us or our stockholders and other similar actions, may be brought only in specified courts in the State of Delaware. In addition, our amended and restated certificate of incorporation provides that the federal district courts of the United States are the exclusive forum for resolving any complaint asserting a cause of action arising under the Securities Act but that the forum selection provision does not apply to claims brought to enforce a duty or liability created by the Exchange Act. Although we believe this provision will benefit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Litigation costs</w:t>
      </w:r>
    </w:p>
    <w:p>
      <w:pPr>
        <w:spacing w:after="0" w:line="13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amended and restated bylaws require, except to the extent prohibited by the DGCL, that in all derivative actions brought on our behalf, actions against directors, officers and employees for breach of a fiduciary duty and other similar actions, the initiating party will reimburse us and any officer, director or other employee for all fees, costs and expenses incurred in connection with such action if such initiating party does not substantially achieve the full remedy sought.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 and expenses. Although we believe this provision will benefit us by discouraging meritless lawsuits against us and our directors, officers and employees, the provision may have the effect of discouraging lawsuits that could benefit us. See “Risk factors—Our amended and restated bylaws provide that, if a claiming party brings certain actions against us and is not successful on the merits then it will be obligated to pay our litigation costs, which could have the effect of discouraging litigation, including claims brought by our stockholders.”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the common stock is Computershare Trust Company, N.A.</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739"/>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PURSUANT TO 17 C.F.R. SECTION 200.83</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Listing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 listed on the NYSE under the symbol “MAX.”</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139"/>
          </w:cols>
          <w:pgMar w:left="320" w:top="459" w:right="1440"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Shares eligible for future sale</w:t>
      </w:r>
    </w:p>
    <w:p>
      <w:pPr>
        <w:spacing w:after="0" w:line="157" w:lineRule="exact"/>
        <w:rPr>
          <w:sz w:val="20"/>
          <w:szCs w:val="20"/>
          <w:color w:val="auto"/>
        </w:rPr>
      </w:pPr>
    </w:p>
    <w:p>
      <w:pPr>
        <w:ind w:left="120" w:right="440"/>
        <w:spacing w:after="0" w:line="237" w:lineRule="auto"/>
        <w:rPr>
          <w:sz w:val="20"/>
          <w:szCs w:val="20"/>
          <w:color w:val="auto"/>
        </w:rPr>
      </w:pPr>
      <w:r>
        <w:rPr>
          <w:rFonts w:ascii="Arial" w:cs="Arial" w:eastAsia="Arial" w:hAnsi="Arial"/>
          <w:sz w:val="18"/>
          <w:szCs w:val="18"/>
          <w:color w:val="auto"/>
        </w:rPr>
        <w:t>Future sales of substantial amounts of Class A common stock in the public market, or the perception that such sales may occur, could adversely affect the market price of the Class A common stock. See “Risk factors—The market price of our Class A common stock could decline due to the large number of shares of Class A common stock eligible for future sale upon the exchange of Class B-1 units of QL Holdings LLC.”</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giving effect to this offering, we will have outstanding an aggregate of shares of Class A common stock and shares of Class B common stock outstanding, assuming no exercise of the underwriters’ option to purchase additional shares. Of these shares, all of the shares of Class A common stock sold in this offering or the IPO will be freely tradable without restriction or further registration under the Securities Act, except for any shares purchased by our “affiliates,” as that term is defined in Rule 144 under the Securities Act, whose shares would be subject to the restrictions described below. In addition, we have registered for resale 1,999,439 shares of our Class A common stock held by the Legacy Profits Interest Holders pursuant to a registration statement on Form S-8 (Registration No. 333-249987) which became automatically effective on November 9, 2020. The shares will be freely tradeable if sold pursuant to the registration statement in accordance with applicable law.</w:t>
      </w:r>
    </w:p>
    <w:p>
      <w:pPr>
        <w:spacing w:after="0" w:line="100"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remaining shares of Class A and Class B common stock outstanding upon completion of this offering, and any shares of Class A common stock issuable to our Class B stockholders pursuant to the exchange agreement,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plans</w:t>
      </w:r>
    </w:p>
    <w:p>
      <w:pPr>
        <w:spacing w:after="0" w:line="13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As of March , 2021, there were shares of Class A common stock issuable upon the vesting of additional restricted stock units. On November 9, 2020, we filed a registration statement on Form S-8 under the Securities Act (File No. 333-249987) to register all shares of capital stock issued or issuable under the 2020 Omnibus Incentive Plan, permitting the resale of such shares by non-affiliates in the public market without restriction under the Securities Act and the sale by affiliates in the public market, subject to compliance with the resale provisions of Rule 144, in each case subject to the lock-up agreements described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agreements</w:t>
      </w:r>
    </w:p>
    <w:p>
      <w:pPr>
        <w:spacing w:after="0" w:line="13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connection with our IPO, we, our directors and executive officers and certain other holders of equity interests in QL Holdings LLC immediately prior to the IPO reorganization agreed that, without the prior written consent of J.P. Morgan Securities LLC and Citigroup Global Markets Inc., as representatives for the several underwriters, we and they will not, subject to limited exceptions, during the period ending 180 days after October 28, 2020:</w:t>
      </w:r>
    </w:p>
    <w:p>
      <w:pPr>
        <w:spacing w:after="0" w:line="114" w:lineRule="exact"/>
        <w:rPr>
          <w:sz w:val="20"/>
          <w:szCs w:val="20"/>
          <w:color w:val="auto"/>
        </w:rPr>
      </w:pPr>
    </w:p>
    <w:p>
      <w:pPr>
        <w:jc w:val="both"/>
        <w:ind w:left="340" w:right="100" w:hanging="224"/>
        <w:spacing w:after="0" w:line="281"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beneficially owned by them or any other securities so owned that are convertible into or exercisable or exchangeable for shares of our common stock;</w:t>
      </w:r>
    </w:p>
    <w:p>
      <w:pPr>
        <w:spacing w:after="0" w:line="82" w:lineRule="exact"/>
        <w:rPr>
          <w:rFonts w:ascii="Arial" w:cs="Arial" w:eastAsia="Arial" w:hAnsi="Arial"/>
          <w:sz w:val="16"/>
          <w:szCs w:val="16"/>
          <w:color w:val="auto"/>
        </w:rPr>
      </w:pPr>
    </w:p>
    <w:p>
      <w:pPr>
        <w:ind w:left="340" w:right="460" w:hanging="224"/>
        <w:spacing w:after="0" w:line="23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shares of common stock; or</w:t>
      </w:r>
    </w:p>
    <w:p>
      <w:pPr>
        <w:spacing w:after="0" w:line="114"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shares of our common stock,</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have agreed that, without the prior written consent of J.P. Morgan Securities LLC and Citigroup Global Markets Inc. on behalf of the underwriters, we or such other person will not, during the 180-day restricted period, make any demand for, or exercise any right with respect to, the registration of any shares of common stock or any security convertible into or exercisable or exchangeable for shares of common stock. None of our other stockholders is subject to any such restrictions and, accordingly, common stock or other securities held by these other stockholders may be transferred or disposed of, to or through any broker-dealer, at any time during or following this offering, subject to such stockholder’s compliance with applicable securities laws. J.P. Morgan Securities LLC and Citigroup Global Markets Inc., in their sole discretion as representatives, may release the common stock and other securities subject to the lock-up agreements described above in whole or in part at any time.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agreements are subject to certain exceptions, as described in the section of this prospectus titled “Underwriting.”</w:t>
      </w:r>
    </w:p>
    <w:p>
      <w:pPr>
        <w:spacing w:after="0" w:line="10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101" w:lineRule="exact"/>
        <w:rPr>
          <w:sz w:val="20"/>
          <w:szCs w:val="20"/>
          <w:color w:val="auto"/>
        </w:rPr>
      </w:pPr>
    </w:p>
    <w:p>
      <w:pPr>
        <w:ind w:left="120" w:right="140"/>
        <w:spacing w:after="0" w:line="264" w:lineRule="auto"/>
        <w:rPr>
          <w:sz w:val="20"/>
          <w:szCs w:val="20"/>
          <w:color w:val="auto"/>
        </w:rPr>
      </w:pPr>
      <w:r>
        <w:rPr>
          <w:rFonts w:ascii="Arial" w:cs="Arial" w:eastAsia="Arial" w:hAnsi="Arial"/>
          <w:sz w:val="16"/>
          <w:szCs w:val="16"/>
          <w:color w:val="auto"/>
        </w:rPr>
        <w:t>In connection with this offering, J.P. Morgan Securities LLC and Citigroup Global Markets Inc., as representatives of the several underwriters in the IPO, have agreed to release the restrictions under the lock-up agreements that were executed in connection with the IPO with respect</w:t>
      </w:r>
    </w:p>
    <w:p>
      <w:pPr>
        <w:ind w:left="120" w:right="40"/>
        <w:spacing w:after="0" w:line="238" w:lineRule="auto"/>
        <w:rPr>
          <w:sz w:val="20"/>
          <w:szCs w:val="20"/>
          <w:color w:val="auto"/>
        </w:rPr>
      </w:pPr>
      <w:r>
        <w:rPr>
          <w:rFonts w:ascii="Arial" w:cs="Arial" w:eastAsia="Arial" w:hAnsi="Arial"/>
          <w:sz w:val="18"/>
          <w:szCs w:val="18"/>
          <w:color w:val="auto"/>
        </w:rPr>
        <w:t>to up to shares (or up to shares including the underwriters’ option to purchase additional shares) of our Class A common stock in this offering, provided that the release of shares of our Class A common stock held by the selling stockholders is limited to the shares actually sold in this offering.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In general, beginning 90 days after the effective date of the registration statement for this offering, a person who is an affiliate of ours, or who was an affiliate at any time during the 90 days before a sale,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114" w:lineRule="exact"/>
        <w:rPr>
          <w:sz w:val="20"/>
          <w:szCs w:val="20"/>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 of the total number of then-outstanding shares of the class of security sold; or</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average weekly trading volume in the class of security sold on the NYSE during the four calendar weeks preceding the filing of a notice on Form 144 with respect to such sale.</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 resales under Rule 144 are also subject to the availability of current public information about us.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general, once we have been subject to the public company reporting requirements of Section 13 or Section 15(d) of the Exchange Act for at least 90 days, a person who is not an affiliate of ours at the time of sale, and has not been an affiliate at any time during the three months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shares from us in connection with a compensatory stock or option plan or other written agreement before the effective date of a registration statement under the Securities Act are entitled to sell such shares 90 days after such effective date in reliance on Rule 144. An affiliate of ours can resell shares in reliance on Rule 144 without having to comply with the holding period requirement, and non-affiliates of ours can resell shares in reliance on Rule 144 without having to comply with the current public information and holding period requirements.</w:t>
      </w:r>
    </w:p>
    <w:p>
      <w:pPr>
        <w:spacing w:after="0" w:line="10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SEC has indicated that Rule 701 will apply to typical stock options granted before we become subject to the reporting requirements of the Exchange Act, along with the shares acquired upon exercise of such options, including exercises after we become subject to the reporting requirements of the Exchange Act.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 A common stock issuable upon exchange of Class B-1 units of QL Holdings LLC</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After the completion of this offering, Class B-1 units of QL Holdings LLC will be outstanding. We have entered into the exchange agreement with Insignia and the Senior Executives, which each hold certain Class B-1 units of QL Holdings LLC. Pursuant to and subject to the terms of the exchange agreement and the fourth amended and restated limited liability company agreement of QL Holdings LLC, holders of Class B-1 units of QL Holdings LLC, at any time and from time to time, may exchange one Class B-1 unit, together with the corresponding share of our Class B common stock, for one share of our Class A common stock (or, at our election, cash of an equivalent value). The amount of Class A common stock issued or conveyed will be subject to customary conversion rate adjustments for stock splits, stock dividends and reclassifications and other similar transactions. See “Organizational structure—Fourth amended and restated limited liability company agreement of QL Holdings LLC—Exchange agreement.” We have also entered into a registration rights agreement with certain of the Pre-IPO shareholders, including White Mountains, Insignia, and the Senior Executives, as described below. If Insignia and the Senior Executives exercised all their exchange and resale rights, 26,305,147 shares of Class A common stock would be issued to them and registered for resale (representing 81.2% of the number of shares of our Class A common stock outstanding immediately after our IPO assuming no exercise of the underwriters’ option to purchase additional shares).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In connection with our IPO, we entered into the registration rights agreement with certain of the pre-IPO shareholders, including White Mountains, Insignia, and the Senior Executives, to register for sale under the Securities Act shares of our Class A common stock, including those delivered in exchange for Class B-1 units of QL Holdings LLC in the circumstances described above. Subject to certain conditions and limitations, this agreement provides White Mountains, Insignia and the Senior Executives with certain registration rights as described in “Organizational structure—Registration rights agreement.”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right="40"/>
        <w:spacing w:after="0" w:line="286" w:lineRule="auto"/>
        <w:rPr>
          <w:sz w:val="20"/>
          <w:szCs w:val="20"/>
          <w:color w:val="auto"/>
        </w:rPr>
      </w:pPr>
      <w:r>
        <w:rPr>
          <w:rFonts w:ascii="Arial" w:cs="Arial" w:eastAsia="Arial" w:hAnsi="Arial"/>
          <w:sz w:val="32"/>
          <w:szCs w:val="32"/>
          <w:b w:val="1"/>
          <w:bCs w:val="1"/>
          <w:color w:val="auto"/>
        </w:rPr>
        <w:t>Material U.S. federal income tax considerations for Non-U.S. Holders of common stock</w:t>
      </w:r>
    </w:p>
    <w:p>
      <w:pPr>
        <w:spacing w:after="0" w:line="26"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sold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We cannot assure that the IRS or a court will not take a contrary position to that discussed below regarding the tax consequences of the purchase, ownership and disposition of our Class A common stock.</w:t>
      </w:r>
    </w:p>
    <w:p>
      <w:pPr>
        <w:spacing w:after="0" w:line="28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4" w:lineRule="exact"/>
        <w:rPr>
          <w:sz w:val="20"/>
          <w:szCs w:val="20"/>
          <w:color w:val="auto"/>
        </w:rPr>
      </w:pPr>
    </w:p>
    <w:p>
      <w:pPr>
        <w:ind w:left="340" w:hanging="224"/>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persons who own, or are deemed to own, more than 5% of our Class A common stock (except to the extent specifically set forth below);</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340" w:right="76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regulated investment companies, real estate investment trusts, banks, insurance companies and other financial institutions;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17" w:lineRule="exact"/>
        <w:rPr>
          <w:rFonts w:ascii="Arial" w:cs="Arial" w:eastAsia="Arial" w:hAnsi="Arial"/>
          <w:sz w:val="18"/>
          <w:szCs w:val="18"/>
          <w:color w:val="auto"/>
        </w:rPr>
      </w:pPr>
    </w:p>
    <w:p>
      <w:pPr>
        <w:ind w:left="340" w:right="96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14" w:lineRule="exact"/>
        <w:rPr>
          <w:rFonts w:ascii="Arial" w:cs="Arial" w:eastAsia="Arial" w:hAnsi="Arial"/>
          <w:sz w:val="18"/>
          <w:szCs w:val="18"/>
          <w:color w:val="auto"/>
        </w:rPr>
      </w:pPr>
    </w:p>
    <w:p>
      <w:pPr>
        <w:ind w:left="340" w:right="30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Class A common stock being taken into account in an applicable financial statement;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65" w:lineRule="exact"/>
        <w:rPr>
          <w:sz w:val="20"/>
          <w:szCs w:val="20"/>
          <w:color w:val="auto"/>
        </w:rPr>
      </w:pPr>
    </w:p>
    <w:p>
      <w:pPr>
        <w:ind w:left="120" w:right="140"/>
        <w:spacing w:after="0" w:line="250" w:lineRule="auto"/>
        <w:rPr>
          <w:sz w:val="20"/>
          <w:szCs w:val="20"/>
          <w:color w:val="auto"/>
        </w:rPr>
      </w:pPr>
      <w:r>
        <w:rPr>
          <w:rFonts w:ascii="Arial" w:cs="Arial" w:eastAsia="Arial" w:hAnsi="Arial"/>
          <w:sz w:val="21"/>
          <w:szCs w:val="21"/>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Definition of a Non-U.S. Holder</w:t>
      </w:r>
    </w:p>
    <w:p>
      <w:pPr>
        <w:spacing w:after="0" w:line="13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13" w:lineRule="exact"/>
        <w:rPr>
          <w:sz w:val="20"/>
          <w:szCs w:val="20"/>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340" w:right="220" w:hanging="224"/>
        <w:spacing w:after="0" w:line="238"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As described in the section 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7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Subject to the discussion below on effectively connected income and FATCA withholding,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500"/>
        <w:spacing w:after="0" w:line="281" w:lineRule="auto"/>
        <w:rPr>
          <w:sz w:val="20"/>
          <w:szCs w:val="20"/>
          <w:color w:val="auto"/>
        </w:rPr>
      </w:pPr>
      <w:r>
        <w:rPr>
          <w:rFonts w:ascii="Arial" w:cs="Arial" w:eastAsia="Arial" w:hAnsi="Arial"/>
          <w:sz w:val="16"/>
          <w:szCs w:val="16"/>
          <w:color w:val="auto"/>
        </w:rPr>
        <w:t>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69"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78"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applicable to U.S. Holders.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Sale or other taxable disposition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discussion below regarding backup withholding and FATCA withholding, in general, a Non-U.S. Holder will not be subject to</w:t>
      </w:r>
    </w:p>
    <w:p>
      <w:pPr>
        <w:ind w:left="120"/>
        <w:spacing w:after="0"/>
        <w:rPr>
          <w:sz w:val="20"/>
          <w:szCs w:val="20"/>
          <w:color w:val="auto"/>
        </w:rPr>
      </w:pPr>
      <w:r>
        <w:rPr>
          <w:rFonts w:ascii="Arial" w:cs="Arial" w:eastAsia="Arial" w:hAnsi="Arial"/>
          <w:sz w:val="18"/>
          <w:szCs w:val="18"/>
          <w:color w:val="auto"/>
        </w:rPr>
        <w:t>U.S. federal income tax on any gain realized upon the sale or other taxable disposition of our Class A common stock unless:</w:t>
      </w:r>
    </w:p>
    <w:p>
      <w:pPr>
        <w:spacing w:after="0" w:line="117" w:lineRule="exact"/>
        <w:rPr>
          <w:sz w:val="20"/>
          <w:szCs w:val="20"/>
          <w:color w:val="auto"/>
        </w:rPr>
      </w:pPr>
    </w:p>
    <w:p>
      <w:pPr>
        <w:ind w:left="340" w:right="140" w:hanging="224"/>
        <w:spacing w:after="0" w:line="238"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113"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4" w:lineRule="exact"/>
        <w:rPr>
          <w:rFonts w:ascii="Arial" w:cs="Arial" w:eastAsia="Arial" w:hAnsi="Arial"/>
          <w:sz w:val="18"/>
          <w:szCs w:val="18"/>
          <w:color w:val="auto"/>
        </w:rPr>
      </w:pPr>
    </w:p>
    <w:p>
      <w:pPr>
        <w:ind w:left="340" w:right="560" w:hanging="224"/>
        <w:spacing w:after="0" w:line="239"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ind w:left="120" w:right="340"/>
        <w:spacing w:after="0" w:line="28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graduated rates applicable to U.S. Holders. A Non-U.S. Holder that is a corporation also may be subject to a branch profits tax at a rate of 30% (or such lower rate specified by an applicable income tax treaty) on such effectively connected gain, as adjusted for certain items.</w:t>
      </w:r>
    </w:p>
    <w:p>
      <w:pPr>
        <w:spacing w:after="0" w:line="6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“regularly traded,” as defined by applicable Treasury Regulations, on an established securities market during the calendar year in which the disposition occurs, and such Non-U.S. Holder owned, actually and constructively, 5% or less of our outstanding Class A common stock throughout the shorter of the five-year period ending on the date of the sale or other taxable disposition or the Non-U.S. Holder’s holding period. If we are a USRPHC and the foregoing exception does not apply to a disposition of our Class A common stock by a Non-U.S. Holder, such Non-U.S. Holder generally will be taxed on its net gain derived from the disposition at the regular U.S. federal income tax rates applicable to U.S. Holders. No assurance can be provided that our Class A common stock will continue to be regularly traded on an established securities market for purposes of the rules described above.</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U.S. person (as defined in the Code) and the holder either certifies its non-U.S. status, such as by furnishing a valid IRS Form W-8BEN, W-8BEN-E or W-8ECI (or other applicable or successor form),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if any, provided the required information is timely furnished to the IRS.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Withholding taxes may be imposed under Sections 1471 to 1474 of the Code and the U.S. Treasury Regulations and other administrative guidance issued thereunder,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direct or indirect “substantial United States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9"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82"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Although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75"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selling stockholders are offering the shares of Class A common stock described in this prospectus through a number of underwriters. J.P. Morgan Securities LLC and Citigroup Global Markets Inc. are acting as the book-running managers of the offering and as representatives of the underwriters. We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Number of</w:t>
      </w:r>
    </w:p>
    <w:p>
      <w:pPr>
        <w:spacing w:after="0" w:line="41"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-6390005</wp:posOffset>
            </wp:positionH>
            <wp:positionV relativeFrom="paragraph">
              <wp:posOffset>-4445</wp:posOffset>
            </wp:positionV>
            <wp:extent cx="699516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9460" w:space="720"/>
            <w:col w:w="9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519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111"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underwriters are committed to purchase all the common stock offered by the selling stockholders if they purchase any shares. The underwriting agreement also provides that if an underwriter defaults, the purchase commitments of non-defaulting underwriters may also be increased or the offering may be terminated.</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propose to offer the common stock directly to the public at the public offering price set forth on the cover page of this</w:t>
      </w:r>
    </w:p>
    <w:p>
      <w:pPr>
        <w:ind w:left="120" w:right="20"/>
        <w:spacing w:after="0" w:line="234" w:lineRule="auto"/>
        <w:rPr>
          <w:sz w:val="20"/>
          <w:szCs w:val="20"/>
          <w:color w:val="auto"/>
        </w:rPr>
      </w:pPr>
      <w:r>
        <w:rPr>
          <w:rFonts w:ascii="Arial" w:cs="Arial" w:eastAsia="Arial" w:hAnsi="Arial"/>
          <w:sz w:val="18"/>
          <w:szCs w:val="18"/>
          <w:color w:val="auto"/>
        </w:rPr>
        <w:t>prospectus and to certain dealers at that price less a concession not in excess of $ per share. Any such dealers may resell shares to certain other brokers or dealers at a discount of up to $ per share from the public offering price. After the initial offering of the shares to</w:t>
      </w:r>
    </w:p>
    <w:p>
      <w:pPr>
        <w:spacing w:after="0" w:line="1"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the public, if all of the common stock are not sold at the public offering price, the underwriters may change the offering price and the other selling terms. Sales of any shares made outside of the United States may be made by affiliates of the underwriters.</w:t>
      </w:r>
    </w:p>
    <w:p>
      <w:pPr>
        <w:spacing w:after="0" w:line="10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underwriters have an option to buy up to additional shares of Class A common stock from the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underwriting fee is equal to the public offering price per share of Class A common stock less the amount paid by the underwriters to the</w:t>
      </w:r>
    </w:p>
    <w:p>
      <w:pPr>
        <w:spacing w:after="0" w:line="19"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selling stockholders per share of Class A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2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Without option to</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With full option to</w:t>
            </w:r>
          </w:p>
        </w:tc>
      </w:tr>
      <w:tr>
        <w:trPr>
          <w:trHeight w:val="203"/>
        </w:trPr>
        <w:tc>
          <w:tcPr>
            <w:tcW w:w="4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20" w:type="dxa"/>
            <w:vAlign w:val="bottom"/>
            <w:gridSpan w:val="2"/>
          </w:tcPr>
          <w:p>
            <w:pPr>
              <w:jc w:val="right"/>
              <w:ind w:right="292"/>
              <w:spacing w:after="0" w:line="202" w:lineRule="exact"/>
              <w:rPr>
                <w:sz w:val="20"/>
                <w:szCs w:val="20"/>
                <w:color w:val="auto"/>
              </w:rPr>
            </w:pPr>
            <w:r>
              <w:rPr>
                <w:rFonts w:ascii="Arial" w:cs="Arial" w:eastAsia="Arial" w:hAnsi="Arial"/>
                <w:sz w:val="18"/>
                <w:szCs w:val="18"/>
                <w:b w:val="1"/>
                <w:bCs w:val="1"/>
                <w:color w:val="auto"/>
              </w:rPr>
              <w:t>purchase additional</w:t>
            </w:r>
          </w:p>
        </w:tc>
        <w:tc>
          <w:tcPr>
            <w:tcW w:w="21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purchase additional</w:t>
            </w:r>
          </w:p>
        </w:tc>
      </w:tr>
      <w:tr>
        <w:trPr>
          <w:trHeight w:val="221"/>
        </w:trPr>
        <w:tc>
          <w:tcPr>
            <w:tcW w:w="4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Per share</w:t>
            </w:r>
          </w:p>
        </w:tc>
        <w:tc>
          <w:tcPr>
            <w:tcW w:w="24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rPr>
              <w:t>shares exercise</w:t>
            </w:r>
          </w:p>
        </w:tc>
        <w:tc>
          <w:tcPr>
            <w:tcW w:w="2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shares exercise</w:t>
            </w: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sold by the selling stockholders</w:t>
            </w:r>
          </w:p>
        </w:tc>
        <w:tc>
          <w:tcPr>
            <w:tcW w:w="2320" w:type="dxa"/>
            <w:vAlign w:val="bottom"/>
            <w:shd w:val="clear" w:color="auto" w:fill="CCEEFF"/>
          </w:tcPr>
          <w:p>
            <w:pPr>
              <w:ind w:left="1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92"/>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472"/>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10960" w:type="dxa"/>
            <w:vAlign w:val="bottom"/>
            <w:tcBorders>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11020" w:type="dxa"/>
            <w:vAlign w:val="bottom"/>
            <w:gridSpan w:val="6"/>
          </w:tcPr>
          <w:p>
            <w:pPr>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tc>
      </w:tr>
      <w:tr>
        <w:trPr>
          <w:trHeight w:val="211"/>
        </w:trPr>
        <w:tc>
          <w:tcPr>
            <w:tcW w:w="7560" w:type="dxa"/>
            <w:vAlign w:val="bottom"/>
            <w:gridSpan w:val="3"/>
          </w:tcPr>
          <w:p>
            <w:pPr>
              <w:spacing w:after="0"/>
              <w:rPr>
                <w:sz w:val="20"/>
                <w:szCs w:val="20"/>
                <w:color w:val="auto"/>
              </w:rPr>
            </w:pPr>
            <w:r>
              <w:rPr>
                <w:rFonts w:ascii="Arial" w:cs="Arial" w:eastAsia="Arial" w:hAnsi="Arial"/>
                <w:sz w:val="18"/>
                <w:szCs w:val="18"/>
                <w:color w:val="auto"/>
              </w:rPr>
              <w:t>expenses, but excluding the underwriting discounts and commissions, will be approximately $</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million.</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00"/>
        </w:trPr>
        <w:tc>
          <w:tcPr>
            <w:tcW w:w="4180" w:type="dxa"/>
            <w:vAlign w:val="bottom"/>
          </w:tcPr>
          <w:p>
            <w:pPr>
              <w:spacing w:after="0"/>
              <w:rPr>
                <w:sz w:val="24"/>
                <w:szCs w:val="24"/>
                <w:color w:val="auto"/>
              </w:rPr>
            </w:pPr>
          </w:p>
        </w:tc>
        <w:tc>
          <w:tcPr>
            <w:tcW w:w="2320" w:type="dxa"/>
            <w:vAlign w:val="bottom"/>
          </w:tcPr>
          <w:p>
            <w:pPr>
              <w:jc w:val="right"/>
              <w:ind w:right="752"/>
              <w:spacing w:after="0"/>
              <w:rPr>
                <w:sz w:val="20"/>
                <w:szCs w:val="20"/>
                <w:color w:val="auto"/>
              </w:rPr>
            </w:pPr>
            <w:r>
              <w:rPr>
                <w:rFonts w:ascii="Arial" w:cs="Arial" w:eastAsia="Arial" w:hAnsi="Arial"/>
                <w:sz w:val="18"/>
                <w:szCs w:val="18"/>
                <w:color w:val="auto"/>
              </w:rPr>
              <w:t>161</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both"/>
        <w:ind w:left="120" w:right="6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Subject to certain exceptions, 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Citigroup Global Markets Inc. for a period of 90 days after the date of this prospectus or the expiration of the lock-up agreements entered into in connection with our IPO, whichever is longer; however, for purposes of this offering, J.P. Morgan Securities LLC and Citigroup Global Markets Inc. have released the restrictions under the lock-up agreements entered into in connection with our IPO applicable to the selling stockholders solely to the extent required to sell the shares being offered and sold in this offering.</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restrictions on our actions, as described above, do not apply to certain transactions, including (i) the issuance of shares of our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(iv) the issuance of shares of common stock or other securities (including securities convertible into shares of common stock) in connection with the acquisition by us or any of our subsidiaries of the securities, businesses, properties or other assets of another person or entity pursuant to any employee benefit plan that we assume in connection with any such acquisition; (v) the issuances of common stock or other securities (including securities convertible into shares of common stock) in connection with joint ventures, commercial relationships or other strategic transactions, provided that in the case of clauses (iv) or (v), the aggregate number of shares of common stock issued in all such acquisitions and transactions does not exceed 5.0% of our outstanding common stock following the offering of the shares and any recipients of such shares enter into a lock-up agreement with the underwriters.</w:t>
      </w:r>
    </w:p>
    <w:p>
      <w:pPr>
        <w:spacing w:after="0" w:line="105"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Subject to certain exceptions, the selling stockholders, our directors and executive officers and certain other holders of equity interests in QL Holdings LLC (such persons, the “lock-up parties”) have entered into lock-up agreements with the underwriters prior to the commencement of this offering pursuant to which each lock-up party, for a period of 90 days after the date of this prospectus, or the expiration of the lock-up agreements entered into in connection with our IPO, whichever is longer (such period, the “restricted period”), may not (and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may not cause any of their direct or indirect affiliates to), without the prior written consent of J.P. Morgan Securities LLC and Citigroup Global Markets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w:t>
      </w:r>
    </w:p>
    <w:p>
      <w:pPr>
        <w:spacing w:after="0" w:line="1" w:lineRule="exact"/>
        <w:rPr>
          <w:sz w:val="20"/>
          <w:szCs w:val="20"/>
          <w:color w:val="auto"/>
        </w:rPr>
      </w:pPr>
    </w:p>
    <w:p>
      <w:pPr>
        <w:jc w:val="both"/>
        <w:ind w:left="120" w:right="240" w:hanging="4"/>
        <w:spacing w:after="0" w:line="264" w:lineRule="auto"/>
        <w:tabs>
          <w:tab w:leader="none" w:pos="3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w:t>
      </w:r>
    </w:p>
    <w:p>
      <w:pPr>
        <w:ind w:left="120" w:right="160" w:hanging="4"/>
        <w:spacing w:after="0" w:line="236" w:lineRule="auto"/>
        <w:tabs>
          <w:tab w:leader="none" w:pos="3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01" w:lineRule="exact"/>
        <w:rPr>
          <w:sz w:val="20"/>
          <w:szCs w:val="20"/>
          <w:color w:val="auto"/>
        </w:rPr>
      </w:pPr>
    </w:p>
    <w:p>
      <w:pPr>
        <w:jc w:val="both"/>
        <w:ind w:left="120"/>
        <w:spacing w:after="0" w:line="26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w:t>
      </w:r>
    </w:p>
    <w:p>
      <w:pPr>
        <w:ind w:left="120" w:right="40" w:hanging="4"/>
        <w:spacing w:after="0" w:line="235" w:lineRule="auto"/>
        <w:tabs>
          <w:tab w:leader="none" w:pos="3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as bona fide gifts, or for bona fide estate planning purposes, (ii) by will or intestacy, (iii) to any immediate family member or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(xii) by pledging, hypothecating or otherwise granting a security interest in the lock-up securities to one or more lending institutions as collateral or security for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loan, advance or extension of credit and transferring upon foreclosure upon such lock-up securities, provided that the transferee or transferees agree(s) to be subject to restrictions similar to those in the immediately preceding paragraph, and (xiii) the exchange of Class B-1 units of QL Holdings LLC and a corresponding number of shares of our Class B common stock for shares of our Class A common stock pursuant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to the exchange agreement;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0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J.P. Morgan Securities LLC and Citigroup Global Markets Inc., in their sole discretion, may release the securities subject to any of the lock-up agreements with the underwriters described above, in whole or in part at any time.</w:t>
      </w:r>
    </w:p>
    <w:p>
      <w:pPr>
        <w:spacing w:after="0" w:line="10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 of 1933.</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shares of Class A common stock are listed on NYSE under the symbol “MAX.”</w:t>
      </w:r>
    </w:p>
    <w:p>
      <w:pPr>
        <w:spacing w:after="0" w:line="104"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28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00"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relationships</w:t>
      </w:r>
    </w:p>
    <w:p>
      <w:pPr>
        <w:spacing w:after="0" w:line="134"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1"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540" w:right="600" w:hanging="424"/>
        <w:spacing w:after="0" w:line="239"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540" w:right="40" w:hanging="424"/>
        <w:spacing w:after="0" w:line="235"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106"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1"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2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5" w:lineRule="exact"/>
        <w:rPr>
          <w:sz w:val="20"/>
          <w:szCs w:val="20"/>
          <w:color w:val="auto"/>
        </w:rPr>
      </w:pPr>
    </w:p>
    <w:p>
      <w:pPr>
        <w:ind w:left="540" w:right="600" w:hanging="424"/>
        <w:spacing w:after="0" w:line="239"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14" w:lineRule="exact"/>
        <w:rPr>
          <w:rFonts w:ascii="Arial" w:cs="Arial" w:eastAsia="Arial" w:hAnsi="Arial"/>
          <w:sz w:val="18"/>
          <w:szCs w:val="18"/>
          <w:color w:val="auto"/>
        </w:rPr>
      </w:pPr>
    </w:p>
    <w:p>
      <w:pPr>
        <w:ind w:left="540" w:right="700" w:hanging="424"/>
        <w:spacing w:after="0" w:line="239"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540" w:right="540" w:hanging="424"/>
        <w:spacing w:after="0" w:line="299" w:lineRule="auto"/>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6"/>
          <w:szCs w:val="16"/>
          <w:color w:val="auto"/>
        </w:rPr>
      </w:pPr>
    </w:p>
    <w:p>
      <w:pPr>
        <w:ind w:left="540" w:hanging="424"/>
        <w:spacing w:after="0" w:line="239"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3" w:lineRule="exact"/>
        <w:rPr>
          <w:sz w:val="20"/>
          <w:szCs w:val="20"/>
          <w:color w:val="auto"/>
        </w:rPr>
      </w:pPr>
    </w:p>
    <w:p>
      <w:pPr>
        <w:ind w:left="540" w:right="60" w:hanging="424"/>
        <w:spacing w:after="0" w:line="239"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540" w:right="580" w:hanging="424"/>
        <w:spacing w:after="0" w:line="239"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60"/>
          </w:cols>
          <w:pgMar w:left="320" w:top="459"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57"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validity of the shares of Class A common stock offered hereby will be passed upon for us by Cravath, Swaine &amp; Moore LLP, New York, New York. Certain legal matters in connection with this offering will be passed upon for the underwriters by Davis Polk &amp; Wardwell LLP, New York, New York.</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financial statements of MediaAlpha, Inc. as of August 31, 2020 and for the period from inception (July 9, 2020) to August 31, 2020 included in this prospectus have been so included in reliance on the report of PricewaterhouseCoopers LLP, an independent registered public accounting firm, given on the authority of said firm as experts in auditing and accounting.</w:t>
      </w:r>
    </w:p>
    <w:p>
      <w:pPr>
        <w:spacing w:after="0" w:line="100" w:lineRule="exact"/>
        <w:rPr>
          <w:sz w:val="20"/>
          <w:szCs w:val="20"/>
          <w:color w:val="auto"/>
        </w:rPr>
      </w:pPr>
    </w:p>
    <w:p>
      <w:pPr>
        <w:jc w:val="both"/>
        <w:ind w:left="120" w:right="320"/>
        <w:spacing w:after="0" w:line="237" w:lineRule="auto"/>
        <w:rPr>
          <w:sz w:val="20"/>
          <w:szCs w:val="20"/>
          <w:color w:val="auto"/>
        </w:rPr>
      </w:pPr>
      <w:r>
        <w:rPr>
          <w:rFonts w:ascii="Arial" w:cs="Arial" w:eastAsia="Arial" w:hAnsi="Arial"/>
          <w:sz w:val="18"/>
          <w:szCs w:val="18"/>
          <w:color w:val="auto"/>
        </w:rPr>
        <w:t>The financial statements of QL Holdings LLC as of December 31, 2019 and 2018 and for the years then ended included in this prospectus have been so included in reliance on the report (which contains an explanatory paragraph relating to QL Holdings LLC’s restatement of its financial statements as described in Note 2 to the financial statements) of PricewaterhouseCoopers LLP, an independent registered public accounting firm, given on the authority of said firm as experts in auditing and accounting.</w:t>
      </w:r>
    </w:p>
    <w:p>
      <w:pPr>
        <w:spacing w:after="0" w:line="100"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financial statement of Guilford Holdings, Inc. as of October 20, 2020 included in this prospectus has been so included in reliance on the report of PricewaterhouseCoopers LLP, an independent registered public accounting firm, given on the authority of said firm as experts in auditing and accounting.</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therewith. For further information about us and the Class A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0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SEC maintains an internet website, which is located at www.sec.gov, that contains reports, proxy and information statements and other information regarding issuers that file electronically with the SEC. You may access the registration statement for this offering at the SEC’s internet website.</w:t>
      </w:r>
    </w:p>
    <w:p>
      <w:pPr>
        <w:spacing w:after="0" w:line="100"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We are subject to the informational and periodic reporting requirements of the Exchange Act. We will continue to fulfill our obligations with respect to such requirements by filing periodic reports and other information with the SEC. We intend to furnish our stockholders with annual reports containing financial statements certified by an independent registered public accounting firm. We also maintain a website at www.mediaalpha.com. The information contained in, or which can be accessed through, our website does not constitute a part of this prospectus and you should not consider information contained on our website when deciding whether to purchase shares of our Class A common stock.</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Index to financial statements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68"/>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Audited Financial Statements of MediaAlpha, Inc.</w:t>
            </w:r>
          </w:p>
        </w:tc>
        <w:tc>
          <w:tcPr>
            <w:tcW w:w="880" w:type="dxa"/>
            <w:vAlign w:val="bottom"/>
          </w:tcPr>
          <w:p>
            <w:pPr>
              <w:spacing w:after="0"/>
              <w:rPr>
                <w:sz w:val="23"/>
                <w:szCs w:val="23"/>
                <w:color w:val="auto"/>
              </w:rPr>
            </w:pP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Report of Independent Registered Public Accounting Firm</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Balance sheet as of August 31, 2020</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Statement of operations for the period from inception (July 9, 2020) to August 31, 2020</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Statement of cash flows for the period from inception (July 9, 2020) to August 31, 2020</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Notes to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418"/>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Audited Balance Sheet of Guilford Holdings, Inc.</w:t>
            </w:r>
          </w:p>
        </w:tc>
        <w:tc>
          <w:tcPr>
            <w:tcW w:w="880" w:type="dxa"/>
            <w:vAlign w:val="bottom"/>
          </w:tcPr>
          <w:p>
            <w:pPr>
              <w:spacing w:after="0"/>
              <w:rPr>
                <w:sz w:val="24"/>
                <w:szCs w:val="24"/>
                <w:color w:val="auto"/>
              </w:rPr>
            </w:pP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Report of Independent Registered Public Accounting Firm</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Balance sheet as of October 20, 2020</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Notes to balance sheet</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419"/>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Audited Consolidated Financial Statements of QL Holdings LLC</w:t>
            </w:r>
          </w:p>
        </w:tc>
        <w:tc>
          <w:tcPr>
            <w:tcW w:w="880" w:type="dxa"/>
            <w:vAlign w:val="bottom"/>
          </w:tcPr>
          <w:p>
            <w:pPr>
              <w:spacing w:after="0"/>
              <w:rPr>
                <w:sz w:val="24"/>
                <w:szCs w:val="24"/>
                <w:color w:val="auto"/>
              </w:rPr>
            </w:pP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Report of Independent Registered Public Accounting Firm</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Consolidated balance sheets as of December 31, 2019 and 2018</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F-16</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Consolidated statements of operations for the years ended December 31, 2019 and 2018</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232"/>
        </w:trPr>
        <w:tc>
          <w:tcPr>
            <w:tcW w:w="1008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96">
              <w:r>
                <w:rPr>
                  <w:rFonts w:ascii="Arial" w:cs="Arial" w:eastAsia="Arial" w:hAnsi="Arial"/>
                  <w:sz w:val="18"/>
                  <w:szCs w:val="18"/>
                  <w:color w:val="0000EE"/>
                  <w:w w:val="97"/>
                </w:rPr>
                <w:t>Consolidated statements of changes in redeemable Class A units and members’ (deficit) equity for the years ended December 31,</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F-18</w:t>
            </w:r>
          </w:p>
        </w:tc>
      </w:tr>
      <w:tr>
        <w:trPr>
          <w:trHeight w:val="182"/>
        </w:trPr>
        <w:tc>
          <w:tcPr>
            <w:tcW w:w="220" w:type="dxa"/>
            <w:vAlign w:val="bottom"/>
          </w:tcPr>
          <w:p>
            <w:pPr>
              <w:spacing w:after="0"/>
              <w:rPr>
                <w:sz w:val="15"/>
                <w:szCs w:val="15"/>
                <w:color w:val="auto"/>
              </w:rPr>
            </w:pPr>
          </w:p>
        </w:tc>
        <w:tc>
          <w:tcPr>
            <w:tcW w:w="9860" w:type="dxa"/>
            <w:vAlign w:val="bottom"/>
            <w:gridSpan w:val="2"/>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2019 and 2018</w:t>
              </w:r>
            </w:hyperlink>
          </w:p>
        </w:tc>
        <w:tc>
          <w:tcPr>
            <w:tcW w:w="88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9"/>
        </w:trPr>
        <w:tc>
          <w:tcPr>
            <w:tcW w:w="10080" w:type="dxa"/>
            <w:vAlign w:val="bottom"/>
            <w:gridSpan w:val="3"/>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Consolidated statements of cash flows for the years ended December 31, 2019 and 2018</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F-19</w:t>
            </w:r>
          </w:p>
        </w:tc>
      </w:tr>
      <w:tr>
        <w:trPr>
          <w:trHeight w:val="270"/>
        </w:trPr>
        <w:tc>
          <w:tcPr>
            <w:tcW w:w="10080" w:type="dxa"/>
            <w:vAlign w:val="bottom"/>
            <w:gridSpan w:val="3"/>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Notes to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F-20</w:t>
            </w:r>
          </w:p>
        </w:tc>
      </w:tr>
      <w:tr>
        <w:trPr>
          <w:trHeight w:val="351"/>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700" w:type="dxa"/>
            <w:vAlign w:val="bottom"/>
          </w:tcPr>
          <w:p>
            <w:pPr>
              <w:ind w:left="4000"/>
              <w:spacing w:after="0"/>
              <w:rPr>
                <w:sz w:val="20"/>
                <w:szCs w:val="20"/>
                <w:color w:val="auto"/>
              </w:rPr>
            </w:pPr>
            <w:r>
              <w:rPr>
                <w:rFonts w:ascii="Arial" w:cs="Arial" w:eastAsia="Arial" w:hAnsi="Arial"/>
                <w:sz w:val="18"/>
                <w:szCs w:val="18"/>
                <w:color w:val="auto"/>
              </w:rPr>
              <w:t>F-1</w:t>
            </w:r>
          </w:p>
        </w:tc>
        <w:tc>
          <w:tcPr>
            <w:tcW w:w="8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of MediaAlpha, Inc.</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audited the accompanying balance sheet of MediaAlpha, Inc. (the “Company”) as of August 31, 2020, and the related statements of operations and of cash flows for the period from inception (July 9, 2020) to August 31, 2020, including the related notes (collectively referred to as the “financial statements”). In our opinion, the financial statements present fairly, in all material respects, the financial position of the Company as of August 31, 2020, and the results of its operations and its cash flows for the period from inception (July 9, 2020) to August 31, 2020 in conformity with accounting principles generally accepted in the United States of America.</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4" w:lineRule="exact"/>
        <w:rPr>
          <w:sz w:val="20"/>
          <w:szCs w:val="20"/>
          <w:color w:val="auto"/>
        </w:rPr>
      </w:pPr>
    </w:p>
    <w:p>
      <w:pPr>
        <w:ind w:left="120" w:right="440"/>
        <w:spacing w:after="0" w:line="27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We conducted our audit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PricewaterhouseCoopers LLP</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October 19, 2020</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MediaAlpha,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 of</w:t>
            </w:r>
          </w:p>
        </w:tc>
      </w:tr>
      <w:tr>
        <w:trPr>
          <w:trHeight w:val="203"/>
        </w:trPr>
        <w:tc>
          <w:tcPr>
            <w:tcW w:w="8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August 31,</w:t>
            </w:r>
          </w:p>
        </w:tc>
      </w:tr>
      <w:tr>
        <w:trPr>
          <w:trHeight w:val="234"/>
        </w:trPr>
        <w:tc>
          <w:tcPr>
            <w:tcW w:w="8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r>
      <w:tr>
        <w:trPr>
          <w:trHeight w:val="48"/>
        </w:trPr>
        <w:tc>
          <w:tcPr>
            <w:tcW w:w="8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86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r>
      <w:tr>
        <w:trPr>
          <w:trHeight w:val="281"/>
        </w:trPr>
        <w:tc>
          <w:tcPr>
            <w:tcW w:w="84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
        </w:trPr>
        <w:tc>
          <w:tcPr>
            <w:tcW w:w="8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0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liabilities</w:t>
            </w: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9,869</w:t>
            </w:r>
          </w:p>
        </w:tc>
      </w:tr>
      <w:tr>
        <w:trPr>
          <w:trHeight w:val="20"/>
        </w:trPr>
        <w:tc>
          <w:tcPr>
            <w:tcW w:w="8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40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9,869</w:t>
            </w: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8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84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9,869</w:t>
            </w:r>
          </w:p>
        </w:tc>
      </w:tr>
      <w:tr>
        <w:trPr>
          <w:trHeight w:val="56"/>
        </w:trPr>
        <w:tc>
          <w:tcPr>
            <w:tcW w:w="8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(Note 4)</w:t>
            </w: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82"/>
        </w:trPr>
        <w:tc>
          <w:tcPr>
            <w:tcW w:w="840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
        </w:trPr>
        <w:tc>
          <w:tcPr>
            <w:tcW w:w="8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$0.01; 1,000 shares authorized, none issued and outstanding</w:t>
            </w: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(9,869)</w:t>
            </w:r>
          </w:p>
        </w:tc>
      </w:tr>
      <w:tr>
        <w:trPr>
          <w:trHeight w:val="27"/>
        </w:trPr>
        <w:tc>
          <w:tcPr>
            <w:tcW w:w="8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(9,869)</w:t>
            </w:r>
          </w:p>
        </w:tc>
      </w:tr>
      <w:tr>
        <w:trPr>
          <w:trHeight w:val="223"/>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6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r>
        <w:trPr>
          <w:trHeight w:val="356"/>
        </w:trPr>
        <w:tc>
          <w:tcPr>
            <w:tcW w:w="8400" w:type="dxa"/>
            <w:vAlign w:val="bottom"/>
          </w:tcPr>
          <w:p>
            <w:pPr>
              <w:ind w:left="5380"/>
              <w:spacing w:after="0"/>
              <w:rPr>
                <w:sz w:val="20"/>
                <w:szCs w:val="20"/>
                <w:color w:val="auto"/>
              </w:rPr>
            </w:pPr>
            <w:r>
              <w:rPr>
                <w:rFonts w:ascii="Arial" w:cs="Arial" w:eastAsia="Arial" w:hAnsi="Arial"/>
                <w:sz w:val="18"/>
                <w:szCs w:val="18"/>
                <w:color w:val="auto"/>
              </w:rPr>
              <w:t>F-3</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MediaAlpha,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For the period</w:t>
            </w:r>
          </w:p>
        </w:tc>
      </w:tr>
      <w:tr>
        <w:trPr>
          <w:trHeight w:val="203"/>
        </w:trPr>
        <w:tc>
          <w:tcPr>
            <w:tcW w:w="41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5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96"/>
              </w:rPr>
              <w:t>from inception to</w:t>
            </w:r>
          </w:p>
        </w:tc>
      </w:tr>
      <w:tr>
        <w:trPr>
          <w:trHeight w:val="221"/>
        </w:trPr>
        <w:tc>
          <w:tcPr>
            <w:tcW w:w="416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6"/>
              </w:rPr>
              <w:t>August 31, 2020</w:t>
            </w: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70"/>
        </w:trPr>
        <w:tc>
          <w:tcPr>
            <w:tcW w:w="4160" w:type="dxa"/>
            <w:vAlign w:val="bottom"/>
          </w:tcPr>
          <w:p>
            <w:pPr>
              <w:spacing w:after="0"/>
              <w:rPr>
                <w:sz w:val="20"/>
                <w:szCs w:val="20"/>
                <w:color w:val="auto"/>
              </w:rPr>
            </w:pPr>
            <w:r>
              <w:rPr>
                <w:rFonts w:ascii="Arial" w:cs="Arial" w:eastAsia="Arial" w:hAnsi="Arial"/>
                <w:sz w:val="18"/>
                <w:szCs w:val="18"/>
                <w:b w:val="1"/>
                <w:bCs w:val="1"/>
                <w:color w:val="auto"/>
              </w:rPr>
              <w:t>Cost and operating expenses</w:t>
            </w:r>
          </w:p>
        </w:tc>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5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9,869</w:t>
            </w:r>
          </w:p>
        </w:tc>
      </w:tr>
      <w:tr>
        <w:trPr>
          <w:trHeight w:val="20"/>
        </w:trPr>
        <w:tc>
          <w:tcPr>
            <w:tcW w:w="4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160" w:type="dxa"/>
            <w:vAlign w:val="bottom"/>
          </w:tcPr>
          <w:p>
            <w:pPr>
              <w:ind w:left="220"/>
              <w:spacing w:after="0"/>
              <w:rPr>
                <w:sz w:val="20"/>
                <w:szCs w:val="20"/>
                <w:color w:val="auto"/>
              </w:rPr>
            </w:pPr>
            <w:r>
              <w:rPr>
                <w:rFonts w:ascii="Arial" w:cs="Arial" w:eastAsia="Arial" w:hAnsi="Arial"/>
                <w:sz w:val="18"/>
                <w:szCs w:val="18"/>
                <w:color w:val="auto"/>
              </w:rPr>
              <w:t>Total costs and operating expenses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9,869</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5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(9,869)</w:t>
            </w:r>
          </w:p>
        </w:tc>
      </w:tr>
      <w:tr>
        <w:trPr>
          <w:trHeight w:val="20"/>
        </w:trPr>
        <w:tc>
          <w:tcPr>
            <w:tcW w:w="4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41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(9,869)</w:t>
            </w:r>
          </w:p>
        </w:tc>
      </w:tr>
      <w:tr>
        <w:trPr>
          <w:trHeight w:val="357"/>
        </w:trPr>
        <w:tc>
          <w:tcPr>
            <w:tcW w:w="4160" w:type="dxa"/>
            <w:vAlign w:val="bottom"/>
            <w:tcBorders>
              <w:top w:val="single" w:sz="8" w:color="auto"/>
            </w:tcBorders>
          </w:tcPr>
          <w:p>
            <w:pPr>
              <w:spacing w:after="0"/>
              <w:rPr>
                <w:sz w:val="24"/>
                <w:szCs w:val="24"/>
                <w:color w:val="auto"/>
              </w:rPr>
            </w:pPr>
          </w:p>
        </w:tc>
        <w:tc>
          <w:tcPr>
            <w:tcW w:w="5400" w:type="dxa"/>
            <w:vAlign w:val="bottom"/>
            <w:tcBorders>
              <w:top w:val="single" w:sz="8" w:color="auto"/>
            </w:tcBorders>
            <w:gridSpan w:val="2"/>
          </w:tcPr>
          <w:p>
            <w:pPr>
              <w:jc w:val="right"/>
              <w:ind w:right="3832"/>
              <w:spacing w:after="0"/>
              <w:rPr>
                <w:sz w:val="20"/>
                <w:szCs w:val="20"/>
                <w:color w:val="auto"/>
              </w:rPr>
            </w:pPr>
            <w:r>
              <w:rPr>
                <w:rFonts w:ascii="Arial" w:cs="Arial" w:eastAsia="Arial" w:hAnsi="Arial"/>
                <w:sz w:val="18"/>
                <w:szCs w:val="18"/>
                <w:color w:val="auto"/>
              </w:rPr>
              <w:t>F-4</w:t>
            </w: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MediaAlpha,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For the period</w:t>
            </w:r>
          </w:p>
        </w:tc>
      </w:tr>
      <w:tr>
        <w:trPr>
          <w:trHeight w:val="203"/>
        </w:trPr>
        <w:tc>
          <w:tcPr>
            <w:tcW w:w="8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96"/>
              </w:rPr>
              <w:t>from inception to</w:t>
            </w:r>
          </w:p>
        </w:tc>
      </w:tr>
      <w:tr>
        <w:trPr>
          <w:trHeight w:val="221"/>
        </w:trPr>
        <w:tc>
          <w:tcPr>
            <w:tcW w:w="8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6"/>
              </w:rPr>
              <w:t>August 31, 2020</w:t>
            </w:r>
          </w:p>
        </w:tc>
      </w:tr>
      <w:tr>
        <w:trPr>
          <w:trHeight w:val="48"/>
        </w:trPr>
        <w:tc>
          <w:tcPr>
            <w:tcW w:w="8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ACTIVITIES: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(9,869)</w:t>
            </w:r>
          </w:p>
        </w:tc>
      </w:tr>
      <w:tr>
        <w:trPr>
          <w:trHeight w:val="203"/>
        </w:trPr>
        <w:tc>
          <w:tcPr>
            <w:tcW w:w="8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00" w:type="dxa"/>
            <w:vAlign w:val="bottom"/>
          </w:tcPr>
          <w:p>
            <w:pPr>
              <w:ind w:left="4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Accrued expenses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9,869</w:t>
            </w:r>
          </w:p>
        </w:tc>
      </w:tr>
      <w:tr>
        <w:trPr>
          <w:trHeight w:val="20"/>
        </w:trPr>
        <w:tc>
          <w:tcPr>
            <w:tcW w:w="8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0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CASH</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CASH—Beginning of period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CASH—End of period</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9"/>
        </w:trPr>
        <w:tc>
          <w:tcPr>
            <w:tcW w:w="8200" w:type="dxa"/>
            <w:vAlign w:val="bottom"/>
          </w:tcPr>
          <w:p>
            <w:pPr>
              <w:ind w:left="5380"/>
              <w:spacing w:after="0"/>
              <w:rPr>
                <w:sz w:val="20"/>
                <w:szCs w:val="20"/>
                <w:color w:val="auto"/>
              </w:rPr>
            </w:pPr>
            <w:r>
              <w:rPr>
                <w:rFonts w:ascii="Arial" w:cs="Arial" w:eastAsia="Arial" w:hAnsi="Arial"/>
                <w:sz w:val="18"/>
                <w:szCs w:val="18"/>
                <w:color w:val="auto"/>
              </w:rPr>
              <w:t>F-5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MediaAlpha,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financial statements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Organization</w:t>
      </w:r>
    </w:p>
    <w:p>
      <w:pPr>
        <w:spacing w:after="0" w:line="1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MediaAlpha, Inc. (the “Company”) was formed as a Delaware Company on July 9, 2020. The Company was formed to serve as a holding company for QL Holdings LLC and the principal operating subsidiary QuoteLab, LLC, by and through its whole owned subsidiary, Intermediate Holdco upon the occurrence of a reorganization in connection with a planned initial public offering,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and pursuant to the rules and regulations of the Securities and Exchange Commission.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06"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Company’s policy is to record interest and penalties related to income taxes as part of the tax provision.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Stockholders’ Equity</w:t>
      </w:r>
    </w:p>
    <w:p>
      <w:pPr>
        <w:spacing w:after="0" w:line="13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Company is authorized to issue 1,000 shares of Common Stock, par value $0.01 per share, none of which have been issued or are outstanding. The only stockholders’ equity activity for the period from inception through August 31, 2020 is the increase in accumulated deficit due to the Company’s net loss for the period.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Commitments and contingencies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August 31, 2020, the Company has no commitments and contingencies.</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MediaAlpha,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financial statements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Income taxes</w:t>
      </w:r>
    </w:p>
    <w:p>
      <w:pPr>
        <w:spacing w:after="0" w:line="13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The Company has no income tax expense for the period ended August 31, 2020. The Company has no foreign operations and therefore, has not provided for any foreign taxes.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of each reporting date, the Company’s management considers new evidence, both positive and negative, that could impact management’s view with regard to future realization of deferred tax assets, which are comprised of net operating loss carryforwards related to the Company’s loss for the period. At August 31, 2020, management recorded a full valuation allowance against its U.S. deferred tax asset, based on its history of cumulative losses and the conclusion that further taxable profit may not be available for the utilization of deferred tax asset for federal and state income tax purposes.</w:t>
      </w:r>
    </w:p>
    <w:p>
      <w:pPr>
        <w:spacing w:after="0" w:line="103"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As August 31, 2020, the Company did not have a liability for unrecognized tax benefits and has no accrued interest or penalties related to uncertain tax positions.</w:t>
      </w:r>
    </w:p>
    <w:p>
      <w:pPr>
        <w:spacing w:after="0" w:line="10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The Company is subject to examination by taxing authorities in the U.S. federal and state jurisdictions. For federal and state income tax, the Company remains subject to examination for 2020.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Subsequent events</w:t>
      </w:r>
    </w:p>
    <w:p>
      <w:pPr>
        <w:spacing w:after="0" w:line="1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Company has evaluated subsequent events that have occurred from August 31, 2020 to October 19, 2020, which is the date that the financial statements were available to be issued and determine that there were no subsequent events or transactions that required recognition or disclosure in the financial statements.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 of Guilford Holdings, Inc.</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Statement—Balance Sheet</w:t>
      </w:r>
    </w:p>
    <w:p>
      <w:pPr>
        <w:spacing w:after="0" w:line="124" w:lineRule="exact"/>
        <w:rPr>
          <w:sz w:val="20"/>
          <w:szCs w:val="20"/>
          <w:color w:val="auto"/>
        </w:rPr>
      </w:pPr>
    </w:p>
    <w:p>
      <w:pPr>
        <w:jc w:val="both"/>
        <w:ind w:left="120" w:right="160"/>
        <w:spacing w:after="0" w:line="237" w:lineRule="auto"/>
        <w:rPr>
          <w:sz w:val="20"/>
          <w:szCs w:val="20"/>
          <w:color w:val="auto"/>
        </w:rPr>
      </w:pPr>
      <w:r>
        <w:rPr>
          <w:rFonts w:ascii="Arial" w:cs="Arial" w:eastAsia="Arial" w:hAnsi="Arial"/>
          <w:sz w:val="18"/>
          <w:szCs w:val="18"/>
          <w:color w:val="auto"/>
        </w:rPr>
        <w:t>We have audited the accompanying balance sheet of Guilford Holdings, Inc. (the “Company”) as of October 20, 2020, including the related notes (collectively referred to as the “financial statement”). In our opinion, the financial statement presents fairly, in all material respects, the financial position of the Company as of October 20, 2020 in conformity with accounting principles generally accepted in the United States of America.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conducted our audit of this financial statement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PricewaterhouseCoopers LLP</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October 21, 2020</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Guilford Holdings,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Balance Sheet</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October 20, 2020</w:t>
            </w:r>
          </w:p>
        </w:tc>
      </w:tr>
      <w:tr>
        <w:trPr>
          <w:trHeight w:val="48"/>
        </w:trPr>
        <w:tc>
          <w:tcPr>
            <w:tcW w:w="9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0"/>
        </w:trPr>
        <w:tc>
          <w:tcPr>
            <w:tcW w:w="9240" w:type="dxa"/>
            <w:vAlign w:val="bottom"/>
          </w:tcPr>
          <w:p>
            <w:pPr>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9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Investment in QL Holdings, LLC</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503,584</w:t>
            </w:r>
          </w:p>
        </w:tc>
      </w:tr>
      <w:tr>
        <w:trPr>
          <w:trHeight w:val="209"/>
        </w:trPr>
        <w:tc>
          <w:tcPr>
            <w:tcW w:w="9240" w:type="dxa"/>
            <w:vAlign w:val="bottom"/>
          </w:tcPr>
          <w:p>
            <w:pPr>
              <w:ind w:left="220"/>
              <w:spacing w:after="0" w:line="202" w:lineRule="exact"/>
              <w:rPr>
                <w:sz w:val="20"/>
                <w:szCs w:val="20"/>
                <w:color w:val="auto"/>
              </w:rPr>
            </w:pPr>
            <w:r>
              <w:rPr>
                <w:rFonts w:ascii="Arial" w:cs="Arial" w:eastAsia="Arial" w:hAnsi="Arial"/>
                <w:sz w:val="18"/>
                <w:szCs w:val="18"/>
                <w:color w:val="auto"/>
              </w:rPr>
              <w:t>Receivable pursuant to tax indemnity agreement</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2,656</w:t>
            </w:r>
          </w:p>
        </w:tc>
        <w:tc>
          <w:tcPr>
            <w:tcW w:w="60" w:type="dxa"/>
            <w:vAlign w:val="bottom"/>
          </w:tcPr>
          <w:p>
            <w:pPr>
              <w:spacing w:after="0"/>
              <w:rPr>
                <w:sz w:val="18"/>
                <w:szCs w:val="18"/>
                <w:color w:val="auto"/>
              </w:rPr>
            </w:pPr>
          </w:p>
        </w:tc>
      </w:tr>
      <w:tr>
        <w:trPr>
          <w:trHeight w:val="203"/>
        </w:trPr>
        <w:tc>
          <w:tcPr>
            <w:tcW w:w="92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b w:val="1"/>
                <w:bCs w:val="1"/>
                <w:color w:val="auto"/>
              </w:rPr>
              <w:t>Total assets</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506,240</w:t>
            </w:r>
          </w:p>
        </w:tc>
      </w:tr>
      <w:tr>
        <w:trPr>
          <w:trHeight w:val="288"/>
        </w:trPr>
        <w:tc>
          <w:tcPr>
            <w:tcW w:w="9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6"/>
        </w:trPr>
        <w:tc>
          <w:tcPr>
            <w:tcW w:w="9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240" w:type="dxa"/>
            <w:vAlign w:val="bottom"/>
          </w:tcPr>
          <w:p>
            <w:pPr>
              <w:ind w:left="220"/>
              <w:spacing w:after="0" w:line="202" w:lineRule="exact"/>
              <w:rPr>
                <w:sz w:val="20"/>
                <w:szCs w:val="20"/>
                <w:color w:val="auto"/>
              </w:rPr>
            </w:pPr>
            <w:r>
              <w:rPr>
                <w:rFonts w:ascii="Arial" w:cs="Arial" w:eastAsia="Arial" w:hAnsi="Arial"/>
                <w:sz w:val="18"/>
                <w:szCs w:val="18"/>
                <w:color w:val="auto"/>
              </w:rPr>
              <w:t>Deferred tax liability</w:t>
            </w:r>
          </w:p>
        </w:tc>
        <w:tc>
          <w:tcPr>
            <w:tcW w:w="7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130,469</w:t>
            </w:r>
          </w:p>
        </w:tc>
      </w:tr>
      <w:tr>
        <w:trPr>
          <w:trHeight w:val="203"/>
        </w:trPr>
        <w:tc>
          <w:tcPr>
            <w:tcW w:w="9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Liability for uncertain tax position</w:t>
            </w:r>
          </w:p>
        </w:tc>
        <w:tc>
          <w:tcPr>
            <w:tcW w:w="3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2,656</w:t>
            </w:r>
          </w:p>
        </w:tc>
        <w:tc>
          <w:tcPr>
            <w:tcW w:w="60" w:type="dxa"/>
            <w:vAlign w:val="bottom"/>
            <w:shd w:val="clear" w:color="auto" w:fill="CCEEFF"/>
          </w:tcPr>
          <w:p>
            <w:pPr>
              <w:spacing w:after="0"/>
              <w:rPr>
                <w:sz w:val="17"/>
                <w:szCs w:val="17"/>
                <w:color w:val="auto"/>
              </w:rPr>
            </w:pPr>
          </w:p>
        </w:tc>
      </w:tr>
      <w:tr>
        <w:trPr>
          <w:trHeight w:val="210"/>
        </w:trPr>
        <w:tc>
          <w:tcPr>
            <w:tcW w:w="92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133,125</w:t>
            </w:r>
          </w:p>
        </w:tc>
      </w:tr>
      <w:tr>
        <w:trPr>
          <w:trHeight w:val="74"/>
        </w:trPr>
        <w:tc>
          <w:tcPr>
            <w:tcW w:w="9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5)</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0"/>
        </w:trPr>
        <w:tc>
          <w:tcPr>
            <w:tcW w:w="92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6"/>
        </w:trPr>
        <w:tc>
          <w:tcPr>
            <w:tcW w:w="924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Guilford Holdings’s common shares at $1 par value per share—authorized 1,000 shares; issued and outstanding</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924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291 and 291 shares</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3"/>
        </w:trPr>
        <w:tc>
          <w:tcPr>
            <w:tcW w:w="92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 in capital</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47,674</w:t>
            </w:r>
          </w:p>
        </w:tc>
      </w:tr>
      <w:tr>
        <w:trPr>
          <w:trHeight w:val="203"/>
        </w:trPr>
        <w:tc>
          <w:tcPr>
            <w:tcW w:w="9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325,441</w:t>
            </w:r>
          </w:p>
        </w:tc>
        <w:tc>
          <w:tcPr>
            <w:tcW w:w="60" w:type="dxa"/>
            <w:vAlign w:val="bottom"/>
            <w:shd w:val="clear" w:color="auto" w:fill="CCEEFF"/>
          </w:tcPr>
          <w:p>
            <w:pPr>
              <w:spacing w:after="0"/>
              <w:rPr>
                <w:sz w:val="17"/>
                <w:szCs w:val="17"/>
                <w:color w:val="auto"/>
              </w:rPr>
            </w:pPr>
          </w:p>
        </w:tc>
      </w:tr>
      <w:tr>
        <w:trPr>
          <w:trHeight w:val="217"/>
        </w:trPr>
        <w:tc>
          <w:tcPr>
            <w:tcW w:w="924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373,115</w:t>
            </w:r>
          </w:p>
        </w:tc>
        <w:tc>
          <w:tcPr>
            <w:tcW w:w="60" w:type="dxa"/>
            <w:vAlign w:val="bottom"/>
          </w:tcPr>
          <w:p>
            <w:pPr>
              <w:spacing w:after="0"/>
              <w:rPr>
                <w:sz w:val="18"/>
                <w:szCs w:val="18"/>
                <w:color w:val="auto"/>
              </w:rPr>
            </w:pPr>
          </w:p>
        </w:tc>
      </w:tr>
      <w:tr>
        <w:trPr>
          <w:trHeight w:val="203"/>
        </w:trPr>
        <w:tc>
          <w:tcPr>
            <w:tcW w:w="92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Total liabilities and equity</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506,240</w:t>
            </w:r>
          </w:p>
        </w:tc>
      </w:tr>
      <w:tr>
        <w:trPr>
          <w:trHeight w:val="20"/>
        </w:trPr>
        <w:tc>
          <w:tcPr>
            <w:tcW w:w="9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this balance sheet.</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Guilford Holdings,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Balance Sheet of Guilford Holdings, Inc.</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Description of Business and Basis of Presentation</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On October 20, 2020, Guilford Holdings, Inc. (“Guilford Holdings”), a wholly-owned subsidiary of White Mountains Insurance Group, Ltd. (“White Mountains”), completed a reorganization in which it transferred all of its assets and liabilities to White Mountains, except for its investment in QL Holdings, LLC (together with its wholly owned subsidiaries, “QL Holdings”) and certain tax assets and tax liabilities (the “Reorganization”). The balance sheet of Guilford Holdings has been prepared in accordance with accounting principles generally accepted in the United States of America (“US GAAP”) and pursuant to the rules and regulations of the Securities and Exchange Commission. This balance sheet was prepared to present the assets and liabilities of Guilford Holdings subsequent to the Reorganization, which is expected to be contributed to MediaAlpha Inc. as part of the planned initial public offering of the MediaAlpha business (the business conducted by QL Holdings).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The preparation of the Guilford Holdings balance sheet in conformity with US GAAP requires management to make estimates and assumptions that affect the reported amounts of certain assets and liabilities and certain disclosures at the date of the Guilford Holdings balance sheet. Significant estimates and assumptions reflected in this balance sheet include Guilford Holdings’s valuation of its investment in QL Holdings and the liability for uncertain tax position. Significant estimates affecting the balance sheet have been prepared on the basis of the most current and best available information, including historical experience, known trends and other market-specific or other relevant factors that management believes to be reasonable. On an ongoing basis, management evaluates its estimates, as there are changes in circumstances, facts and experience. Changes in estimates are recorded in periods which they become known. However, actual results from the resolution of such estimates and assumptions may vary from those used in the preparation of the Guilford Holdings balance sheet.</w:t>
      </w:r>
    </w:p>
    <w:p>
      <w:pPr>
        <w:spacing w:after="0" w:line="7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full extent to which the COVID-19 pandemic will directly or indirectly impact Guilford Holdings’s business and the business of its investee will depend on future developments that are highly uncertain, including developments as a result of new information that may emerge concerning COVID-19 and the actions taken to contain it or treat COVID-19, as well as the economic impact on QL Holdings’s customers and markets.</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As of October 20, 2020, Guilford Holdings valued its investment in QL Holdings using a probability-weighted expected return method (“PWERM”). Under the PWERM, the valuation is based on the probability-weighted present value of expected future equity values under various possible future scenarios. The valuation is derived based on the weighting of two potential scenarios, including (i) an initial public offering (“IPO”) or (ii) remaining a private company. To determine the value of the IPO scenario, forward market multiples were derived from a range of guideline companies and applied to QL Holdings’ projected financial metrics. To determine the equity value of remaining a private company scenario, the value of the company was calculated using a discounted cash flow model. The discounted cash flow valuation model includes key inputs such as projections of future revenues and earnings, a discount rate and a terminal revenue growth rate. The expected future cash flows are based on management judgment, considering current performance, budgets and projected future results. The discount rates reflect Guilford Holdings’s weighted average cost of capital, considering comparable public company data, adjusted for risks specific to the business and industry. The terminal revenue growth rate is based on company, industry and macroeconomic expectations of perpetual revenue growth subsequent to the end of the discrete period in the discounted cash flow analysis.</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Guilford Holdings,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Balance Sheet of Guilford Holdings, Inc.</w:t>
      </w:r>
    </w:p>
    <w:p>
      <w:pPr>
        <w:spacing w:after="0" w:line="13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Recognition of the benefit of a given tax position is based upon whether a company determines that it is more likely than not that a tax position will be sustained upon examination based upon the technical merits of the position. In evaluating the more-likely-than-not recognition threshold, Guilford Holdings must presume that the tax position will be subject to examination by a taxing authority with full knowledge of all relevant information. If the recognition threshold is met, then the tax position is measured at the largest amount of benefit that is more than 50% likely of being realized upon ultimate settlement. If the recognition threshold is not met, then a liability is recorded for the uncertain portion of the tax position.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The fair value option provides an election that allows a company to irrevocably elect to record certain financial assets and liabilities at fair value on an instrument-by-instrument basis at initial recognition. Guilford Holdings has elected to apply the fair value option to its equity method eligible investment in QL Holdings. Guilford Holdings accounts for the fair value of its investment in QL Holdings in accordance with FASB ASC Topic 820, which defines fair value, establishes a framework for measuring fair value under US GAAP and enhances disclosures about fair value measurements. Fair value is defined as the exchange price that would be received for an asset or paid to transfer a liability (an exit price) in the principal or most advantageous market for an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unobservable:</w:t>
      </w:r>
    </w:p>
    <w:p>
      <w:pPr>
        <w:spacing w:after="0" w:line="88"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0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Level 1 quoted prices), such as quoted prices in active markets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determining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including pricing models, discounted cash flow methodologies and similar techniques.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Guilford Holdings files tax returns in the United States. Deferred tax assets and liabilities are recorded when a difference between the carrying amounts of assets and liabilities for financial reporting purposes and the amounts for tax purposes exists, and for other temporary differences. The deferred tax asset or liability is recorded based on tax rates expected to be in effect when the difference reverses. Guilford Holdings analyzes whether the deferred tax assets are realizable and establishes a valuation allowance. Guilford Holdings analyzes whether the deferred tax assets are more likely than not to be realized and will establish a valuation allowance if they do not meet that threshold.</w:t>
      </w:r>
    </w:p>
    <w:p>
      <w:pPr>
        <w:spacing w:after="0" w:line="60" w:lineRule="exact"/>
        <w:rPr>
          <w:sz w:val="20"/>
          <w:szCs w:val="20"/>
          <w:color w:val="auto"/>
        </w:rPr>
      </w:pPr>
    </w:p>
    <w:p>
      <w:pPr>
        <w:jc w:val="both"/>
        <w:ind w:left="120" w:right="160"/>
        <w:spacing w:after="0" w:line="247" w:lineRule="auto"/>
        <w:rPr>
          <w:sz w:val="20"/>
          <w:szCs w:val="20"/>
          <w:color w:val="auto"/>
        </w:rPr>
      </w:pPr>
      <w:r>
        <w:rPr>
          <w:rFonts w:ascii="Arial" w:cs="Arial" w:eastAsia="Arial" w:hAnsi="Arial"/>
          <w:sz w:val="18"/>
          <w:szCs w:val="18"/>
          <w:color w:val="auto"/>
        </w:rPr>
        <w:t xml:space="preserve">Guilford Holdings follows the provisions of uncertain tax positions as addressed in FASB ASC Subtopic 740-10, </w:t>
      </w:r>
      <w:r>
        <w:rPr>
          <w:rFonts w:ascii="Arial" w:cs="Arial" w:eastAsia="Arial" w:hAnsi="Arial"/>
          <w:sz w:val="18"/>
          <w:szCs w:val="18"/>
          <w:i w:val="1"/>
          <w:iCs w:val="1"/>
          <w:color w:val="auto"/>
        </w:rPr>
        <w:t>Income Taxes</w:t>
      </w:r>
      <w:r>
        <w:rPr>
          <w:rFonts w:ascii="Arial" w:cs="Arial" w:eastAsia="Arial" w:hAnsi="Arial"/>
          <w:sz w:val="18"/>
          <w:szCs w:val="18"/>
          <w:color w:val="auto"/>
        </w:rPr>
        <w:t>. Specifically, Guilford Holdings records uncertain tax positions on the basis of a two-step process: (1) determine whether it is more likely than not that the tax positions will be sustained on the basis of the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Guilford Holdings,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Balance Sheet of Guilford Holdings, Inc.</w:t>
      </w:r>
    </w:p>
    <w:p>
      <w:pPr>
        <w:spacing w:after="0" w:line="131"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technical merits of the position and (2) for those tax positions that meet the more-likely-than-not recognition threshold, recognize the largest amount of tax benefit that is more than 50 percent likely to be realized upon ultimate settlement with the related tax authority. As of October 20, 2020, Guilford Holdings recognized a $2.7 million liability for uncertain tax positions.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Investments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Significant Unobservable Inputs</w:t>
      </w:r>
    </w:p>
    <w:p>
      <w:pPr>
        <w:spacing w:after="0" w:line="134"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Guilford Holdings’s investment in QL Holdings is recorded at fair value. The following tables present significant unobservable inputs used in estimating the fair value of Guilford Holdings’s investment in QL Holdings classified within Level 3 as of October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9"/>
        </w:trPr>
        <w:tc>
          <w:tcPr>
            <w:tcW w:w="1680" w:type="dxa"/>
            <w:vAlign w:val="bottom"/>
          </w:tcPr>
          <w:p>
            <w:pPr>
              <w:spacing w:after="0"/>
              <w:rPr>
                <w:sz w:val="20"/>
                <w:szCs w:val="20"/>
                <w:color w:val="auto"/>
              </w:rPr>
            </w:pPr>
            <w:r>
              <w:rPr>
                <w:rFonts w:ascii="Arial" w:cs="Arial" w:eastAsia="Arial" w:hAnsi="Arial"/>
                <w:sz w:val="13"/>
                <w:szCs w:val="13"/>
                <w:b w:val="1"/>
                <w:bCs w:val="1"/>
                <w:color w:val="auto"/>
              </w:rPr>
              <w:t>($ in thousands)</w:t>
            </w:r>
          </w:p>
        </w:tc>
        <w:tc>
          <w:tcPr>
            <w:tcW w:w="620" w:type="dxa"/>
            <w:vAlign w:val="bottom"/>
          </w:tcPr>
          <w:p>
            <w:pPr>
              <w:spacing w:after="0"/>
              <w:rPr>
                <w:sz w:val="15"/>
                <w:szCs w:val="15"/>
                <w:color w:val="auto"/>
              </w:rPr>
            </w:pPr>
          </w:p>
        </w:tc>
        <w:tc>
          <w:tcPr>
            <w:tcW w:w="349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October 20, 2020</w:t>
            </w:r>
          </w:p>
        </w:tc>
      </w:tr>
      <w:tr>
        <w:trPr>
          <w:trHeight w:val="196"/>
        </w:trPr>
        <w:tc>
          <w:tcPr>
            <w:tcW w:w="1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620" w:type="dxa"/>
            <w:vAlign w:val="bottom"/>
            <w:tcBorders>
              <w:bottom w:val="single" w:sz="8" w:color="auto"/>
            </w:tcBorders>
          </w:tcPr>
          <w:p>
            <w:pPr>
              <w:spacing w:after="0"/>
              <w:rPr>
                <w:sz w:val="17"/>
                <w:szCs w:val="17"/>
                <w:color w:val="auto"/>
              </w:rPr>
            </w:pPr>
          </w:p>
        </w:tc>
        <w:tc>
          <w:tcPr>
            <w:tcW w:w="3490" w:type="dxa"/>
            <w:vAlign w:val="bottom"/>
            <w:tcBorders>
              <w:top w:val="single" w:sz="8" w:color="auto"/>
              <w:bottom w:val="single" w:sz="8" w:color="auto"/>
            </w:tcBorders>
          </w:tcPr>
          <w:p>
            <w:pPr>
              <w:ind w:left="1720"/>
              <w:spacing w:after="0" w:line="196" w:lineRule="exact"/>
              <w:rPr>
                <w:sz w:val="20"/>
                <w:szCs w:val="20"/>
                <w:color w:val="auto"/>
              </w:rPr>
            </w:pPr>
            <w:r>
              <w:rPr>
                <w:rFonts w:ascii="Arial" w:cs="Arial" w:eastAsia="Arial" w:hAnsi="Arial"/>
                <w:sz w:val="18"/>
                <w:szCs w:val="18"/>
                <w:b w:val="1"/>
                <w:bCs w:val="1"/>
                <w:color w:val="auto"/>
                <w:w w:val="99"/>
              </w:rPr>
              <w:t>Valuation Technique</w:t>
            </w:r>
          </w:p>
        </w:tc>
        <w:tc>
          <w:tcPr>
            <w:tcW w:w="99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Fair Value</w:t>
            </w:r>
          </w:p>
        </w:tc>
        <w:tc>
          <w:tcPr>
            <w:tcW w:w="4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Significant Unobservable Inputs</w:t>
            </w:r>
          </w:p>
        </w:tc>
        <w:tc>
          <w:tcPr>
            <w:tcW w:w="80" w:type="dxa"/>
            <w:vAlign w:val="bottom"/>
            <w:tcBorders>
              <w:bottom w:val="single" w:sz="8" w:color="auto"/>
            </w:tcBorders>
          </w:tcPr>
          <w:p>
            <w:pPr>
              <w:spacing w:after="0"/>
              <w:rPr>
                <w:sz w:val="17"/>
                <w:szCs w:val="17"/>
                <w:color w:val="auto"/>
              </w:rPr>
            </w:pPr>
          </w:p>
        </w:tc>
      </w:tr>
      <w:tr>
        <w:trPr>
          <w:trHeight w:val="196"/>
        </w:trPr>
        <w:tc>
          <w:tcPr>
            <w:tcW w:w="1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QL Holdings</w:t>
            </w:r>
          </w:p>
        </w:tc>
        <w:tc>
          <w:tcPr>
            <w:tcW w:w="4110" w:type="dxa"/>
            <w:vAlign w:val="bottom"/>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Probability-weighted</w:t>
            </w:r>
          </w:p>
        </w:tc>
        <w:tc>
          <w:tcPr>
            <w:tcW w:w="99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503,584</w:t>
            </w:r>
          </w:p>
        </w:tc>
        <w:tc>
          <w:tcPr>
            <w:tcW w:w="28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Weight Ascribed to IPO</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7"/>
                <w:szCs w:val="17"/>
                <w:color w:val="auto"/>
              </w:rPr>
            </w:pPr>
          </w:p>
        </w:tc>
      </w:tr>
      <w:tr>
        <w:trPr>
          <w:trHeight w:val="203"/>
        </w:trPr>
        <w:tc>
          <w:tcPr>
            <w:tcW w:w="1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9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expected return method</w:t>
            </w:r>
          </w:p>
        </w:tc>
        <w:tc>
          <w:tcPr>
            <w:tcW w:w="990" w:type="dxa"/>
            <w:vAlign w:val="bottom"/>
            <w:shd w:val="clear" w:color="auto" w:fill="CCEEFF"/>
          </w:tcPr>
          <w:p>
            <w:pPr>
              <w:spacing w:after="0"/>
              <w:rPr>
                <w:sz w:val="17"/>
                <w:szCs w:val="17"/>
                <w:color w:val="auto"/>
              </w:rPr>
            </w:pPr>
          </w:p>
        </w:tc>
        <w:tc>
          <w:tcPr>
            <w:tcW w:w="28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Forward Revenue Exit Multiple</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2x</w:t>
            </w:r>
          </w:p>
        </w:tc>
      </w:tr>
      <w:tr>
        <w:trPr>
          <w:trHeight w:val="314"/>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9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Weight Ascribed to DCF</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r>
      <w:tr>
        <w:trPr>
          <w:trHeight w:val="203"/>
        </w:trPr>
        <w:tc>
          <w:tcPr>
            <w:tcW w:w="1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9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2880" w:type="dxa"/>
            <w:vAlign w:val="bottom"/>
          </w:tcPr>
          <w:p>
            <w:pPr>
              <w:ind w:left="300"/>
              <w:spacing w:after="0" w:line="202" w:lineRule="exact"/>
              <w:rPr>
                <w:sz w:val="20"/>
                <w:szCs w:val="20"/>
                <w:color w:val="auto"/>
              </w:rPr>
            </w:pPr>
            <w:r>
              <w:rPr>
                <w:rFonts w:ascii="Arial" w:cs="Arial" w:eastAsia="Arial" w:hAnsi="Arial"/>
                <w:sz w:val="18"/>
                <w:szCs w:val="18"/>
                <w:color w:val="auto"/>
              </w:rPr>
              <w:t>Discount Rate</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80" w:type="dxa"/>
            <w:vAlign w:val="bottom"/>
          </w:tcPr>
          <w:p>
            <w:pPr>
              <w:spacing w:after="0"/>
              <w:rPr>
                <w:sz w:val="17"/>
                <w:szCs w:val="17"/>
                <w:color w:val="auto"/>
              </w:rPr>
            </w:pPr>
          </w:p>
        </w:tc>
      </w:tr>
      <w:tr>
        <w:trPr>
          <w:trHeight w:val="212"/>
        </w:trPr>
        <w:tc>
          <w:tcPr>
            <w:tcW w:w="16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90" w:type="dxa"/>
            <w:vAlign w:val="bottom"/>
            <w:tcBorders>
              <w:bottom w:val="single" w:sz="8" w:color="auto"/>
            </w:tcBorders>
          </w:tcPr>
          <w:p>
            <w:pPr>
              <w:spacing w:after="0"/>
              <w:rPr>
                <w:sz w:val="18"/>
                <w:szCs w:val="18"/>
                <w:color w:val="auto"/>
              </w:rPr>
            </w:pPr>
          </w:p>
        </w:tc>
        <w:tc>
          <w:tcPr>
            <w:tcW w:w="99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Terminal Revenue Growth</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Income Taxes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Deferred Tax Assets and Liabilities</w:t>
      </w:r>
    </w:p>
    <w:p>
      <w:pPr>
        <w:spacing w:after="0" w:line="134" w:lineRule="exact"/>
        <w:rPr>
          <w:sz w:val="20"/>
          <w:szCs w:val="20"/>
          <w:color w:val="auto"/>
        </w:rPr>
      </w:pPr>
    </w:p>
    <w:p>
      <w:pPr>
        <w:jc w:val="both"/>
        <w:ind w:left="120" w:right="80"/>
        <w:spacing w:after="0" w:line="239" w:lineRule="auto"/>
        <w:rPr>
          <w:sz w:val="20"/>
          <w:szCs w:val="20"/>
          <w:color w:val="auto"/>
        </w:rPr>
      </w:pPr>
      <w:r>
        <w:rPr>
          <w:rFonts w:ascii="Arial" w:cs="Arial" w:eastAsia="Arial" w:hAnsi="Arial"/>
          <w:sz w:val="18"/>
          <w:szCs w:val="18"/>
          <w:color w:val="auto"/>
        </w:rPr>
        <w:t>Deferred taxes reflect the net tax effects of temporary differences between the carrying amounts of assets and liabilities for financial reporting purposes and the amounts for tax purposes.</w:t>
      </w:r>
    </w:p>
    <w:p>
      <w:pPr>
        <w:spacing w:after="0" w:line="101"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The following table presents an outline of the significant components of Guilford Holdings’s U.S. federal and state deferred tax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8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7"/>
              </w:rPr>
              <w:t>As of October 20, 2020</w:t>
            </w: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related to:</w:t>
            </w:r>
          </w:p>
        </w:tc>
        <w:tc>
          <w:tcPr>
            <w:tcW w:w="4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State net operating loss carryforwards</w:t>
            </w:r>
          </w:p>
        </w:tc>
        <w:tc>
          <w:tcPr>
            <w:tcW w:w="5580" w:type="dxa"/>
            <w:vAlign w:val="bottom"/>
            <w:gridSpan w:val="2"/>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915</w:t>
            </w:r>
          </w:p>
        </w:tc>
        <w:tc>
          <w:tcPr>
            <w:tcW w:w="80" w:type="dxa"/>
            <w:vAlign w:val="bottom"/>
          </w:tcPr>
          <w:p>
            <w:pPr>
              <w:spacing w:after="0"/>
              <w:rPr>
                <w:sz w:val="17"/>
                <w:szCs w:val="17"/>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 carryforwards</w:t>
            </w:r>
          </w:p>
        </w:tc>
        <w:tc>
          <w:tcPr>
            <w:tcW w:w="48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7"/>
                <w:szCs w:val="17"/>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4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18"/>
                <w:szCs w:val="18"/>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allowances</w:t>
            </w:r>
          </w:p>
        </w:tc>
        <w:tc>
          <w:tcPr>
            <w:tcW w:w="48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2,232</w:t>
            </w:r>
          </w:p>
        </w:tc>
        <w:tc>
          <w:tcPr>
            <w:tcW w:w="80" w:type="dxa"/>
            <w:vAlign w:val="bottom"/>
            <w:shd w:val="clear" w:color="auto" w:fill="CCEEFF"/>
          </w:tcPr>
          <w:p>
            <w:pPr>
              <w:spacing w:after="0"/>
              <w:rPr>
                <w:sz w:val="17"/>
                <w:szCs w:val="17"/>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4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74"/>
        </w:trPr>
        <w:tc>
          <w:tcPr>
            <w:tcW w:w="4140" w:type="dxa"/>
            <w:vAlign w:val="bottom"/>
          </w:tcPr>
          <w:p>
            <w:pPr>
              <w:spacing w:after="0"/>
              <w:rPr>
                <w:sz w:val="6"/>
                <w:szCs w:val="6"/>
                <w:color w:val="auto"/>
              </w:rPr>
            </w:pPr>
          </w:p>
        </w:tc>
        <w:tc>
          <w:tcPr>
            <w:tcW w:w="48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 related to:</w:t>
            </w:r>
          </w:p>
        </w:tc>
        <w:tc>
          <w:tcPr>
            <w:tcW w:w="4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4140" w:type="dxa"/>
            <w:vAlign w:val="bottom"/>
          </w:tcPr>
          <w:p>
            <w:pPr>
              <w:spacing w:after="0" w:line="202" w:lineRule="exact"/>
              <w:rPr>
                <w:sz w:val="20"/>
                <w:szCs w:val="20"/>
                <w:color w:val="auto"/>
              </w:rPr>
            </w:pPr>
            <w:r>
              <w:rPr>
                <w:rFonts w:ascii="Arial" w:cs="Arial" w:eastAsia="Arial" w:hAnsi="Arial"/>
                <w:sz w:val="18"/>
                <w:szCs w:val="18"/>
                <w:color w:val="auto"/>
              </w:rPr>
              <w:t>Investment in QL Holdings LLC</w:t>
            </w:r>
          </w:p>
        </w:tc>
        <w:tc>
          <w:tcPr>
            <w:tcW w:w="4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130,469</w:t>
            </w:r>
          </w:p>
        </w:tc>
        <w:tc>
          <w:tcPr>
            <w:tcW w:w="80" w:type="dxa"/>
            <w:vAlign w:val="bottom"/>
          </w:tcPr>
          <w:p>
            <w:pPr>
              <w:spacing w:after="0"/>
              <w:rPr>
                <w:sz w:val="18"/>
                <w:szCs w:val="18"/>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48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130,469</w:t>
            </w:r>
          </w:p>
        </w:tc>
        <w:tc>
          <w:tcPr>
            <w:tcW w:w="80" w:type="dxa"/>
            <w:vAlign w:val="bottom"/>
            <w:shd w:val="clear" w:color="auto" w:fill="CCEEFF"/>
          </w:tcPr>
          <w:p>
            <w:pPr>
              <w:spacing w:after="0"/>
              <w:rPr>
                <w:sz w:val="17"/>
                <w:szCs w:val="17"/>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55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130,469</w:t>
            </w:r>
          </w:p>
        </w:tc>
      </w:tr>
      <w:tr>
        <w:trPr>
          <w:trHeight w:val="357"/>
        </w:trPr>
        <w:tc>
          <w:tcPr>
            <w:tcW w:w="4140" w:type="dxa"/>
            <w:vAlign w:val="bottom"/>
            <w:tcBorders>
              <w:top w:val="single" w:sz="8" w:color="auto"/>
            </w:tcBorders>
          </w:tcPr>
          <w:p>
            <w:pPr>
              <w:spacing w:after="0"/>
              <w:rPr>
                <w:sz w:val="24"/>
                <w:szCs w:val="24"/>
                <w:color w:val="auto"/>
              </w:rPr>
            </w:pPr>
          </w:p>
        </w:tc>
        <w:tc>
          <w:tcPr>
            <w:tcW w:w="5580" w:type="dxa"/>
            <w:vAlign w:val="bottom"/>
            <w:tcBorders>
              <w:top w:val="single" w:sz="8" w:color="auto"/>
            </w:tcBorders>
            <w:gridSpan w:val="2"/>
          </w:tcPr>
          <w:p>
            <w:pPr>
              <w:jc w:val="right"/>
              <w:ind w:right="3952"/>
              <w:spacing w:after="0"/>
              <w:rPr>
                <w:sz w:val="20"/>
                <w:szCs w:val="20"/>
                <w:color w:val="auto"/>
              </w:rPr>
            </w:pPr>
            <w:r>
              <w:rPr>
                <w:rFonts w:ascii="Arial" w:cs="Arial" w:eastAsia="Arial" w:hAnsi="Arial"/>
                <w:sz w:val="18"/>
                <w:szCs w:val="18"/>
                <w:color w:val="auto"/>
              </w:rPr>
              <w:t>F-12</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Guilford Holdings,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Balance Sheet of Guilford Holdings, Inc.</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Guilford Holdings’s deferred tax liability is net of U.S. federal and state valuation allowances.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Valuation Allowance</w:t>
      </w:r>
    </w:p>
    <w:p>
      <w:pPr>
        <w:spacing w:after="0" w:line="13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Guilford Holdings records a valuation allowance against deferred tax assets if it becomes more likely than not that all or a portion of a deferred tax asset will not be realized. In determining whether or not a valuation allowance, or change therein, is warranted, Guilford Holdings considers factors such as prior earnings history, expected future earnings, carryback and carryforward periods and strategies that if executed would result in the realization of a deferred tax asset. It is possible that certain planning strategies or projected earnings in certain subsidiaries may not be sufficient to utilize the entire deferred tax asset, which could result in material changes to Guilford Holdings’s deferred tax assets and tax expense.</w:t>
      </w:r>
    </w:p>
    <w:p>
      <w:pPr>
        <w:spacing w:after="0" w:line="102"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Of the $2.2 million valuation allowance as of October 20, 2020, $1.3 million related to deferred tax assets on foreign tax credits in the U.S and $0.9 million related to deferred tax assets on state net operating losses.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2020, Guilford Holdings was in a net deferred tax liability position due to unrealized gains on its investment in QL Holdings.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Net Operating Loss and Capital Loss Carryforwards</w:t>
      </w:r>
    </w:p>
    <w:p>
      <w:pPr>
        <w:spacing w:after="0" w:line="134" w:lineRule="exact"/>
        <w:rPr>
          <w:sz w:val="20"/>
          <w:szCs w:val="20"/>
          <w:color w:val="auto"/>
        </w:rPr>
      </w:pPr>
    </w:p>
    <w:p>
      <w:pPr>
        <w:ind w:left="120" w:right="580"/>
        <w:spacing w:after="0" w:line="239" w:lineRule="auto"/>
        <w:rPr>
          <w:sz w:val="20"/>
          <w:szCs w:val="20"/>
          <w:color w:val="auto"/>
        </w:rPr>
      </w:pPr>
      <w:r>
        <w:rPr>
          <w:rFonts w:ascii="Arial" w:cs="Arial" w:eastAsia="Arial" w:hAnsi="Arial"/>
          <w:sz w:val="18"/>
          <w:szCs w:val="18"/>
          <w:color w:val="auto"/>
        </w:rPr>
        <w:t>As of October 20, 2020, Guilford Holdings recorded a deferred tax asset of $0.9 million for state net operating loss carryforwards. As of October 20, 2020, there are U.S. foreign tax credit carryforwards available of $1.0 million, which begin to expire in 2029.</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Uncertain Tax Positions</w:t>
      </w:r>
    </w:p>
    <w:p>
      <w:pPr>
        <w:spacing w:after="0" w:line="13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Recognition of the benefit of a given tax position is based upon whether a company determines that it is more likely than not that a tax position will be sustained upon examination based upon the technical merits of the position. In evaluating the more-likely-than-not recognition threshold, Guilford Holdings must presume that the tax position will be subject to examination by a taxing authority with full knowledge of all relevant information. If the recognition threshold is met, then the tax position is measured at the largest amount of benefit that is more than 50% likely of being realized upon ultimate settlement.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an ending amount of unrecognized tax benefits as of October 20, 2020:</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rPr>
              <w:t>Permanent</w:t>
            </w:r>
          </w:p>
        </w:tc>
        <w:tc>
          <w:tcPr>
            <w:tcW w:w="40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rPr>
              <w:t>Temporary</w:t>
            </w:r>
          </w:p>
        </w:tc>
        <w:tc>
          <w:tcPr>
            <w:tcW w:w="14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Interest and</w:t>
            </w:r>
          </w:p>
        </w:tc>
        <w:tc>
          <w:tcPr>
            <w:tcW w:w="860" w:type="dxa"/>
            <w:vAlign w:val="bottom"/>
          </w:tcPr>
          <w:p>
            <w:pPr>
              <w:spacing w:after="0"/>
              <w:rPr>
                <w:sz w:val="18"/>
                <w:szCs w:val="18"/>
                <w:color w:val="auto"/>
              </w:rPr>
            </w:pPr>
          </w:p>
        </w:tc>
      </w:tr>
      <w:tr>
        <w:trPr>
          <w:trHeight w:val="221"/>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 xml:space="preserve">Differences </w:t>
            </w:r>
            <w:r>
              <w:rPr>
                <w:rFonts w:ascii="Arial" w:cs="Arial" w:eastAsia="Arial" w:hAnsi="Arial"/>
                <w:sz w:val="11"/>
                <w:szCs w:val="11"/>
                <w:b w:val="1"/>
                <w:bCs w:val="1"/>
                <w:color w:val="auto"/>
              </w:rPr>
              <w:t>(1)</w:t>
            </w:r>
          </w:p>
        </w:tc>
        <w:tc>
          <w:tcPr>
            <w:tcW w:w="16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 xml:space="preserve">Differences </w:t>
            </w:r>
            <w:r>
              <w:rPr>
                <w:rFonts w:ascii="Arial" w:cs="Arial" w:eastAsia="Arial" w:hAnsi="Arial"/>
                <w:sz w:val="11"/>
                <w:szCs w:val="11"/>
                <w:b w:val="1"/>
                <w:bCs w:val="1"/>
                <w:color w:val="auto"/>
              </w:rPr>
              <w:t>(2)</w:t>
            </w:r>
          </w:p>
        </w:tc>
        <w:tc>
          <w:tcPr>
            <w:tcW w:w="14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 xml:space="preserve">Penalties </w:t>
            </w:r>
            <w:r>
              <w:rPr>
                <w:rFonts w:ascii="Arial" w:cs="Arial" w:eastAsia="Arial" w:hAnsi="Arial"/>
                <w:sz w:val="11"/>
                <w:szCs w:val="11"/>
                <w:b w:val="1"/>
                <w:bCs w:val="1"/>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October 20, 2020</w:t>
            </w:r>
          </w:p>
        </w:tc>
        <w:tc>
          <w:tcPr>
            <w:tcW w:w="1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b w:val="1"/>
                <w:bCs w:val="1"/>
                <w:color w:val="auto"/>
              </w:rPr>
              <w:t>1,972</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b w:val="1"/>
                <w:bCs w:val="1"/>
                <w:color w:val="auto"/>
              </w:rPr>
              <w:t>684</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u w:val="single" w:color="auto"/>
                <w:color w:val="auto"/>
              </w:rPr>
              <w:t>$2,656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300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6" w:lineRule="exact"/>
        <w:rPr>
          <w:sz w:val="20"/>
          <w:szCs w:val="20"/>
          <w:color w:val="auto"/>
        </w:rPr>
      </w:pPr>
    </w:p>
    <w:p>
      <w:pPr>
        <w:ind w:left="440" w:hanging="324"/>
        <w:spacing w:after="0"/>
        <w:tabs>
          <w:tab w:leader="none" w:pos="4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the amount of unrecognized tax benefits that, if recognized, would impact the effective tax rate.</w:t>
      </w:r>
    </w:p>
    <w:p>
      <w:pPr>
        <w:spacing w:after="0" w:line="66" w:lineRule="exact"/>
        <w:rPr>
          <w:rFonts w:ascii="Arial" w:cs="Arial" w:eastAsia="Arial" w:hAnsi="Arial"/>
          <w:sz w:val="13"/>
          <w:szCs w:val="13"/>
          <w:color w:val="auto"/>
        </w:rPr>
      </w:pPr>
    </w:p>
    <w:p>
      <w:pPr>
        <w:ind w:left="440" w:right="80" w:hanging="324"/>
        <w:spacing w:after="0" w:line="258" w:lineRule="auto"/>
        <w:tabs>
          <w:tab w:leader="none" w:pos="4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the amount of unrecognized tax benefits that, if recognized, would create a temporary difference between the reported amount of an item in the Guilford Holdings, Inc. balance sheet and its tax basis.</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Net of tax benefit.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Guilford Holdings does not expect a material change in its uncertain tax positions over the next twelve months.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Indemnification of Uncertain Tax Positions</w:t>
      </w:r>
    </w:p>
    <w:p>
      <w:pPr>
        <w:spacing w:after="0" w:line="13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White Mountains has agreed to indemnify Guilford Holdings’s liability for its uncertain tax position. As of October 20, 2020, Guilford Holdings recorded a receivable for $2.7 million for the indemnification.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Guilford Holdings,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Balance Sheet of Guilford Holdings, Inc.</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Tax Examinations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Guilford Holdings is no longer subject to U.S. federal and state income tax examinations by tax authorities for years before 2017.</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Commitments and Contingencies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October 20, 2020, Guilford Holdings does not have any commitments or legal contingencies.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Transactions with Related Parties</w:t>
      </w:r>
    </w:p>
    <w:p>
      <w:pPr>
        <w:spacing w:after="0" w:line="134" w:lineRule="exact"/>
        <w:rPr>
          <w:sz w:val="20"/>
          <w:szCs w:val="20"/>
          <w:color w:val="auto"/>
        </w:rPr>
      </w:pPr>
    </w:p>
    <w:p>
      <w:pPr>
        <w:ind w:left="120" w:right="520"/>
        <w:spacing w:after="0" w:line="239" w:lineRule="auto"/>
        <w:rPr>
          <w:sz w:val="20"/>
          <w:szCs w:val="20"/>
          <w:color w:val="auto"/>
        </w:rPr>
      </w:pPr>
      <w:r>
        <w:rPr>
          <w:rFonts w:ascii="Arial" w:cs="Arial" w:eastAsia="Arial" w:hAnsi="Arial"/>
          <w:sz w:val="18"/>
          <w:szCs w:val="18"/>
          <w:color w:val="auto"/>
        </w:rPr>
        <w:t>As of October 20, 2020, Guilford Holdings has recorded a $2.7 million receivable pursuant to a tax indemnity agreement with White Mountains, its parent company.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Subsequent Events</w:t>
      </w:r>
    </w:p>
    <w:p>
      <w:pPr>
        <w:spacing w:after="0" w:line="13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Subsequent events have been evaluated through October 21, 2020, the date the Guilford Holdings, Inc. balance sheet and accompanying notes thereto were available to be issued.</w:t>
      </w:r>
    </w:p>
    <w:p>
      <w:pPr>
        <w:spacing w:after="0" w:line="1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0800"/>
          </w:cols>
          <w:pgMar w:left="320" w:top="459" w:right="7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Members of QL Holdings LLC</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have audited the accompanying consolidated balance sheets of QL Holdings LLC and its subsidiaries (the “Company”) as of December 31, 2019 and 2018, and the related consolidated statements of operations, of changes in redeemable Class A units and members’ (deficit)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Restatement of Previously Issued Financial Statements</w:t>
      </w:r>
    </w:p>
    <w:p>
      <w:pPr>
        <w:spacing w:after="0" w:line="122"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As discussed in Note 2 to the consolidated financial statements, the Company has restated its 2019 and 2018 financial statements to correct errors.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4" w:lineRule="exact"/>
        <w:rPr>
          <w:sz w:val="20"/>
          <w:szCs w:val="20"/>
          <w:color w:val="auto"/>
        </w:rPr>
      </w:pPr>
    </w:p>
    <w:p>
      <w:pPr>
        <w:ind w:left="120" w:right="140"/>
        <w:spacing w:after="0" w:line="27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PricewaterhouseCoopers LLP</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16, 2020</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37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Consolidated balance sheets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December 31,</w:t>
            </w:r>
          </w:p>
        </w:tc>
      </w:tr>
      <w:tr>
        <w:trPr>
          <w:trHeight w:val="20"/>
        </w:trPr>
        <w:tc>
          <w:tcPr>
            <w:tcW w:w="8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2019</w:t>
            </w:r>
          </w:p>
        </w:tc>
        <w:tc>
          <w:tcPr>
            <w:tcW w:w="1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r>
      <w:tr>
        <w:trPr>
          <w:trHeight w:val="226"/>
        </w:trPr>
        <w:tc>
          <w:tcPr>
            <w:tcW w:w="824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(As restated)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 restated)</w:t>
            </w:r>
          </w:p>
        </w:tc>
      </w:tr>
    </w:tbl>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Cash and cash equivalents</w:t>
      </w:r>
    </w:p>
    <w:p>
      <w:pPr>
        <w:ind w:left="340"/>
        <w:spacing w:after="0" w:line="235" w:lineRule="auto"/>
        <w:rPr>
          <w:sz w:val="20"/>
          <w:szCs w:val="20"/>
          <w:color w:val="auto"/>
        </w:rPr>
      </w:pPr>
      <w:r>
        <w:rPr>
          <w:rFonts w:ascii="Arial" w:cs="Arial" w:eastAsia="Arial" w:hAnsi="Arial"/>
          <w:sz w:val="18"/>
          <w:szCs w:val="18"/>
          <w:color w:val="auto"/>
        </w:rPr>
        <w:t>Accounts receivable, net of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 and other current assets</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Property and equipment, net</w:t>
      </w:r>
    </w:p>
    <w:p>
      <w:pPr>
        <w:ind w:left="120"/>
        <w:spacing w:after="0" w:line="235" w:lineRule="auto"/>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assets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Redeemable Class A units and Members’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Accounts payable</w:t>
      </w:r>
    </w:p>
    <w:p>
      <w:pPr>
        <w:ind w:left="340"/>
        <w:spacing w:after="0" w:line="235" w:lineRule="auto"/>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Current portion of long-term debt</w:t>
      </w:r>
    </w:p>
    <w:p>
      <w:pPr>
        <w:ind w:left="340"/>
        <w:spacing w:after="0"/>
        <w:rPr>
          <w:sz w:val="20"/>
          <w:szCs w:val="20"/>
          <w:color w:val="auto"/>
        </w:rPr>
      </w:pPr>
      <w:r>
        <w:rPr>
          <w:rFonts w:ascii="Arial" w:cs="Arial" w:eastAsia="Arial" w:hAnsi="Arial"/>
          <w:sz w:val="18"/>
          <w:szCs w:val="18"/>
          <w:color w:val="auto"/>
        </w:rPr>
        <w:t>Current portion of 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Total current liabilities</w:t>
      </w:r>
    </w:p>
    <w:p>
      <w:pPr>
        <w:ind w:left="120"/>
        <w:spacing w:after="0" w:line="234" w:lineRule="auto"/>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Deferred rent, net of current portion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Commitments and contingencies (Note 9)</w:t>
      </w:r>
    </w:p>
    <w:p>
      <w:pPr>
        <w:ind w:left="340" w:right="100" w:hanging="215"/>
        <w:spacing w:after="0" w:line="239" w:lineRule="auto"/>
        <w:rPr>
          <w:sz w:val="20"/>
          <w:szCs w:val="20"/>
          <w:color w:val="auto"/>
        </w:rPr>
      </w:pPr>
      <w:r>
        <w:rPr>
          <w:rFonts w:ascii="Arial" w:cs="Arial" w:eastAsia="Arial" w:hAnsi="Arial"/>
          <w:sz w:val="18"/>
          <w:szCs w:val="18"/>
          <w:color w:val="auto"/>
        </w:rPr>
        <w:t>Redeemable Class A units, 284,211 at redemption value of approximately $260.71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6995160"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Members’ (deficit) equity</w:t>
      </w:r>
    </w:p>
    <w:p>
      <w:pPr>
        <w:ind w:left="760" w:hanging="215"/>
        <w:spacing w:after="0" w:line="234" w:lineRule="auto"/>
        <w:rPr>
          <w:sz w:val="20"/>
          <w:szCs w:val="20"/>
          <w:color w:val="auto"/>
        </w:rPr>
      </w:pPr>
      <w:r>
        <w:rPr>
          <w:rFonts w:ascii="Arial" w:cs="Arial" w:eastAsia="Arial" w:hAnsi="Arial"/>
          <w:sz w:val="18"/>
          <w:szCs w:val="18"/>
          <w:color w:val="auto"/>
        </w:rPr>
        <w:t>Class A units, 1,136,842 units authorized; 852,631 and 1,136,842 units issued and outstanding (excluding 284,211 units and 0 units subject to possible redemption) as of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2571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ind w:left="760" w:right="380" w:hanging="215"/>
        <w:spacing w:after="0" w:line="234" w:lineRule="auto"/>
        <w:rPr>
          <w:sz w:val="20"/>
          <w:szCs w:val="20"/>
          <w:color w:val="auto"/>
        </w:rPr>
      </w:pPr>
      <w:r>
        <w:rPr>
          <w:rFonts w:ascii="Arial" w:cs="Arial" w:eastAsia="Arial" w:hAnsi="Arial"/>
          <w:sz w:val="18"/>
          <w:szCs w:val="18"/>
          <w:color w:val="auto"/>
        </w:rPr>
        <w:t>Class B units, 169,943 units authorized; 163,800 and 98,090 issued and outstanding as of December 31, 2019 and 2018, respectively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members’ (deficit) equity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liabilities, redeemable Class A units and members’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26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10,028</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5,662</w:t>
            </w:r>
          </w:p>
        </w:tc>
      </w:tr>
      <w:tr>
        <w:trPr>
          <w:trHeight w:val="203"/>
        </w:trPr>
        <w:tc>
          <w:tcPr>
            <w:tcW w:w="32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56,012</w:t>
            </w:r>
          </w:p>
        </w:tc>
        <w:tc>
          <w:tcPr>
            <w:tcW w:w="5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37,150</w:t>
            </w:r>
          </w:p>
        </w:tc>
      </w:tr>
      <w:tr>
        <w:trPr>
          <w:trHeight w:val="199"/>
        </w:trPr>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2"/>
              <w:spacing w:after="0" w:line="200" w:lineRule="exact"/>
              <w:rPr>
                <w:sz w:val="20"/>
                <w:szCs w:val="20"/>
                <w:color w:val="auto"/>
              </w:rPr>
            </w:pPr>
            <w:r>
              <w:rPr>
                <w:rFonts w:ascii="Arial" w:cs="Arial" w:eastAsia="Arial" w:hAnsi="Arial"/>
                <w:sz w:val="18"/>
                <w:szCs w:val="18"/>
                <w:color w:val="auto"/>
              </w:rPr>
              <w:t>1,448</w:t>
            </w:r>
          </w:p>
        </w:tc>
        <w:tc>
          <w:tcPr>
            <w:tcW w:w="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1,286</w:t>
            </w:r>
          </w:p>
        </w:tc>
      </w:tr>
      <w:tr>
        <w:trPr>
          <w:trHeight w:val="213"/>
        </w:trPr>
        <w:tc>
          <w:tcPr>
            <w:tcW w:w="32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67,488</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44,098</w:t>
            </w:r>
          </w:p>
        </w:tc>
      </w:tr>
    </w:tbl>
    <w:p>
      <w:pPr>
        <w:ind w:left="2380" w:hanging="1602"/>
        <w:spacing w:after="0" w:line="234" w:lineRule="auto"/>
        <w:tabs>
          <w:tab w:leader="none" w:pos="2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881</w:t>
      </w:r>
    </w:p>
    <w:p>
      <w:pPr>
        <w:ind w:left="540"/>
        <w:spacing w:after="0"/>
        <w:rPr>
          <w:rFonts w:ascii="Arial" w:cs="Arial" w:eastAsia="Arial" w:hAnsi="Arial"/>
          <w:sz w:val="18"/>
          <w:szCs w:val="18"/>
          <w:color w:val="auto"/>
        </w:rPr>
      </w:pPr>
      <w:r>
        <w:rPr>
          <w:rFonts w:ascii="Arial" w:cs="Arial" w:eastAsia="Arial" w:hAnsi="Arial"/>
          <w:sz w:val="18"/>
          <w:szCs w:val="18"/>
          <w:color w:val="auto"/>
        </w:rPr>
        <w:t>18,752</w:t>
      </w:r>
      <w:r>
        <w:rPr>
          <w:rFonts w:ascii="Arial" w:cs="Arial" w:eastAsia="Arial" w:hAnsi="Arial"/>
          <w:sz w:val="16"/>
          <w:szCs w:val="16"/>
          <w:color w:val="auto"/>
        </w:rPr>
        <w:t>23,985</w:t>
      </w:r>
    </w:p>
    <w:tbl>
      <w:tblPr>
        <w:tblLayout w:type="fixed"/>
        <w:tblInd w:w="0" w:type="dxa"/>
        <w:tblCellMar>
          <w:top w:w="0" w:type="dxa"/>
          <w:left w:w="0" w:type="dxa"/>
          <w:bottom w:w="0" w:type="dxa"/>
          <w:right w:w="0" w:type="dxa"/>
        </w:tblCellMar>
      </w:tblPr>
      <w:tr>
        <w:trPr>
          <w:trHeight w:val="200"/>
        </w:trPr>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2"/>
              <w:spacing w:after="0" w:line="200" w:lineRule="exact"/>
              <w:rPr>
                <w:sz w:val="20"/>
                <w:szCs w:val="20"/>
                <w:color w:val="auto"/>
              </w:rPr>
            </w:pPr>
            <w:r>
              <w:rPr>
                <w:rFonts w:ascii="Arial" w:cs="Arial" w:eastAsia="Arial" w:hAnsi="Arial"/>
                <w:sz w:val="18"/>
                <w:szCs w:val="18"/>
                <w:color w:val="auto"/>
              </w:rPr>
              <w:t>18,402</w:t>
            </w:r>
          </w:p>
        </w:tc>
        <w:tc>
          <w:tcPr>
            <w:tcW w:w="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18,402</w:t>
            </w:r>
          </w:p>
        </w:tc>
      </w:tr>
      <w:tr>
        <w:trPr>
          <w:trHeight w:val="210"/>
        </w:trPr>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105,397</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87,366</w:t>
            </w:r>
          </w:p>
        </w:tc>
      </w:tr>
      <w:tr>
        <w:trPr>
          <w:trHeight w:val="685"/>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40,455</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27,014</w:t>
            </w:r>
          </w:p>
        </w:tc>
      </w:tr>
      <w:tr>
        <w:trPr>
          <w:trHeight w:val="203"/>
        </w:trPr>
        <w:tc>
          <w:tcPr>
            <w:tcW w:w="26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6,532</w:t>
            </w:r>
          </w:p>
        </w:tc>
        <w:tc>
          <w:tcPr>
            <w:tcW w:w="5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5,160</w:t>
            </w:r>
          </w:p>
        </w:tc>
      </w:tr>
      <w:tr>
        <w:trPr>
          <w:trHeight w:val="203"/>
        </w:trPr>
        <w:tc>
          <w:tcPr>
            <w:tcW w:w="26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873</w:t>
            </w:r>
          </w:p>
        </w:tc>
        <w:tc>
          <w:tcPr>
            <w:tcW w:w="5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1,188</w:t>
            </w:r>
          </w:p>
        </w:tc>
      </w:tr>
      <w:tr>
        <w:trPr>
          <w:trHeight w:val="199"/>
        </w:trPr>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2"/>
              <w:spacing w:after="0" w:line="200" w:lineRule="exact"/>
              <w:rPr>
                <w:sz w:val="20"/>
                <w:szCs w:val="20"/>
                <w:color w:val="auto"/>
              </w:rPr>
            </w:pPr>
            <w:r>
              <w:rPr>
                <w:rFonts w:ascii="Arial" w:cs="Arial" w:eastAsia="Arial" w:hAnsi="Arial"/>
                <w:sz w:val="18"/>
                <w:szCs w:val="18"/>
                <w:color w:val="auto"/>
              </w:rPr>
              <w:t>52</w:t>
            </w:r>
          </w:p>
        </w:tc>
        <w:tc>
          <w:tcPr>
            <w:tcW w:w="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94</w:t>
            </w:r>
          </w:p>
        </w:tc>
      </w:tr>
      <w:tr>
        <w:trPr>
          <w:trHeight w:val="213"/>
        </w:trPr>
        <w:tc>
          <w:tcPr>
            <w:tcW w:w="2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47,912</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33,456</w:t>
            </w:r>
          </w:p>
        </w:tc>
      </w:tr>
      <w:tr>
        <w:trPr>
          <w:trHeight w:val="203"/>
        </w:trPr>
        <w:tc>
          <w:tcPr>
            <w:tcW w:w="26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96,665</w:t>
            </w:r>
          </w:p>
        </w:tc>
        <w:tc>
          <w:tcPr>
            <w:tcW w:w="5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13,061</w:t>
            </w:r>
          </w:p>
        </w:tc>
      </w:tr>
    </w:tbl>
    <w:p>
      <w:pPr>
        <w:ind w:left="2380" w:hanging="1602"/>
        <w:spacing w:after="0"/>
        <w:tabs>
          <w:tab w:leader="none" w:pos="2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369</w:t>
      </w:r>
    </w:p>
    <w:p>
      <w:pPr>
        <w:spacing w:after="0" w:line="2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144,896</w:t>
      </w:r>
      <w:r>
        <w:rPr>
          <w:rFonts w:ascii="Arial" w:cs="Arial" w:eastAsia="Arial" w:hAnsi="Arial"/>
          <w:sz w:val="16"/>
          <w:szCs w:val="16"/>
          <w:color w:val="auto"/>
        </w:rPr>
        <w:t>46,886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6973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16973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0"/>
        <w:spacing w:after="0"/>
        <w:tabs>
          <w:tab w:leader="none" w:pos="2460" w:val="left"/>
        </w:tabs>
        <w:rPr>
          <w:sz w:val="20"/>
          <w:szCs w:val="20"/>
          <w:color w:val="auto"/>
        </w:rPr>
      </w:pPr>
      <w:r>
        <w:rPr>
          <w:rFonts w:ascii="Arial" w:cs="Arial" w:eastAsia="Arial" w:hAnsi="Arial"/>
          <w:sz w:val="18"/>
          <w:szCs w:val="18"/>
          <w:color w:val="auto"/>
        </w:rPr>
        <w:t>74,097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973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spacing w:after="0"/>
        <w:tabs>
          <w:tab w:leader="none" w:pos="2100" w:val="left"/>
        </w:tabs>
        <w:rPr>
          <w:sz w:val="20"/>
          <w:szCs w:val="20"/>
          <w:color w:val="auto"/>
        </w:rPr>
      </w:pPr>
      <w:r>
        <w:rPr>
          <w:rFonts w:ascii="Arial" w:cs="Arial" w:eastAsia="Arial" w:hAnsi="Arial"/>
          <w:sz w:val="18"/>
          <w:szCs w:val="18"/>
          <w:color w:val="auto"/>
        </w:rPr>
        <w:t>73,003</w:t>
      </w:r>
      <w:r>
        <w:rPr>
          <w:sz w:val="20"/>
          <w:szCs w:val="20"/>
          <w:color w:val="auto"/>
        </w:rPr>
        <w:tab/>
      </w:r>
      <w:r>
        <w:rPr>
          <w:rFonts w:ascii="Arial" w:cs="Arial" w:eastAsia="Arial" w:hAnsi="Arial"/>
          <w:sz w:val="18"/>
          <w:szCs w:val="18"/>
          <w:color w:val="auto"/>
        </w:rPr>
        <w:t>73,003</w:t>
      </w:r>
    </w:p>
    <w:p>
      <w:pPr>
        <w:spacing w:after="0" w:line="194"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8"/>
          <w:szCs w:val="18"/>
          <w:color w:val="auto"/>
        </w:rPr>
        <w:t>6,544</w:t>
      </w:r>
      <w:r>
        <w:rPr>
          <w:sz w:val="20"/>
          <w:szCs w:val="20"/>
          <w:color w:val="auto"/>
        </w:rPr>
        <w:tab/>
      </w:r>
      <w:r>
        <w:rPr>
          <w:rFonts w:ascii="Arial" w:cs="Arial" w:eastAsia="Arial" w:hAnsi="Arial"/>
          <w:sz w:val="18"/>
          <w:szCs w:val="18"/>
          <w:color w:val="auto"/>
        </w:rPr>
        <w:t>2,950</w:t>
      </w:r>
    </w:p>
    <w:p>
      <w:pPr>
        <w:jc w:val="both"/>
        <w:ind w:left="380"/>
        <w:spacing w:after="0"/>
        <w:tabs>
          <w:tab w:leader="none" w:pos="2040" w:val="left"/>
        </w:tabs>
        <w:rPr>
          <w:sz w:val="20"/>
          <w:szCs w:val="20"/>
          <w:color w:val="auto"/>
        </w:rPr>
      </w:pPr>
      <w:r>
        <w:rPr>
          <w:rFonts w:ascii="Arial" w:cs="Arial" w:eastAsia="Arial" w:hAnsi="Arial"/>
          <w:sz w:val="18"/>
          <w:szCs w:val="18"/>
          <w:color w:val="auto"/>
        </w:rPr>
        <w:t>(193,143)</w:t>
      </w:r>
      <w:r>
        <w:rPr>
          <w:sz w:val="20"/>
          <w:szCs w:val="20"/>
          <w:color w:val="auto"/>
        </w:rPr>
        <w:tab/>
      </w:r>
      <w:r>
        <w:rPr>
          <w:rFonts w:ascii="Arial" w:cs="Arial" w:eastAsia="Arial" w:hAnsi="Arial"/>
          <w:sz w:val="18"/>
          <w:szCs w:val="18"/>
          <w:color w:val="auto"/>
        </w:rPr>
        <w:t>(35,473)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973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2100" w:val="left"/>
        </w:tabs>
        <w:rPr>
          <w:sz w:val="20"/>
          <w:szCs w:val="20"/>
          <w:color w:val="auto"/>
        </w:rPr>
      </w:pPr>
      <w:r>
        <w:rPr>
          <w:rFonts w:ascii="Arial" w:cs="Arial" w:eastAsia="Arial" w:hAnsi="Arial"/>
          <w:sz w:val="18"/>
          <w:szCs w:val="18"/>
          <w:color w:val="auto"/>
        </w:rPr>
        <w:t>(113,596)</w:t>
      </w:r>
      <w:r>
        <w:rPr>
          <w:sz w:val="20"/>
          <w:szCs w:val="20"/>
          <w:color w:val="auto"/>
        </w:rPr>
        <w:tab/>
      </w:r>
      <w:r>
        <w:rPr>
          <w:rFonts w:ascii="Arial" w:cs="Arial" w:eastAsia="Arial" w:hAnsi="Arial"/>
          <w:sz w:val="18"/>
          <w:szCs w:val="18"/>
          <w:color w:val="auto"/>
        </w:rPr>
        <w:t>40,480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973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 w:lineRule="exact"/>
        <w:rPr>
          <w:sz w:val="20"/>
          <w:szCs w:val="20"/>
          <w:color w:val="auto"/>
        </w:rPr>
      </w:pPr>
    </w:p>
    <w:p>
      <w:pPr>
        <w:spacing w:after="0"/>
        <w:tabs>
          <w:tab w:leader="none" w:pos="420" w:val="left"/>
          <w:tab w:leader="none" w:pos="1560" w:val="left"/>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105,397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87,366</w:t>
      </w:r>
    </w:p>
    <w:p>
      <w:pPr>
        <w:spacing w:after="0" w:line="200" w:lineRule="exact"/>
        <w:rPr>
          <w:sz w:val="20"/>
          <w:szCs w:val="20"/>
          <w:color w:val="auto"/>
        </w:rPr>
      </w:pPr>
    </w:p>
    <w:p>
      <w:pPr>
        <w:sectPr>
          <w:pgSz w:w="11900" w:h="16838" w:orient="portrait"/>
          <w:cols w:equalWidth="0" w:num="2">
            <w:col w:w="7920" w:space="440"/>
            <w:col w:w="2780"/>
          </w:cols>
          <w:pgMar w:left="320" w:top="459" w:right="439" w:bottom="1440" w:gutter="0" w:footer="0" w:header="0"/>
          <w:type w:val="continuous"/>
        </w:sect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40"/>
          </w:cols>
          <w:pgMar w:left="320" w:top="459" w:right="43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right="5020"/>
        <w:spacing w:after="0" w:line="266" w:lineRule="auto"/>
        <w:rPr>
          <w:sz w:val="20"/>
          <w:szCs w:val="20"/>
          <w:color w:val="auto"/>
        </w:rPr>
      </w:pPr>
      <w:r>
        <w:rPr>
          <w:rFonts w:ascii="Arial" w:cs="Arial" w:eastAsia="Arial" w:hAnsi="Arial"/>
          <w:sz w:val="32"/>
          <w:szCs w:val="32"/>
          <w:b w:val="1"/>
          <w:bCs w:val="1"/>
          <w:color w:val="auto"/>
        </w:rPr>
        <w:t>QL Holdings LLC and subsidiaries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4"/>
          </w:tcPr>
          <w:p>
            <w:pPr>
              <w:ind w:left="240"/>
              <w:spacing w:after="0"/>
              <w:rPr>
                <w:sz w:val="20"/>
                <w:szCs w:val="20"/>
                <w:color w:val="auto"/>
              </w:rPr>
            </w:pPr>
            <w:r>
              <w:rPr>
                <w:rFonts w:ascii="Arial" w:cs="Arial" w:eastAsia="Arial" w:hAnsi="Arial"/>
                <w:sz w:val="18"/>
                <w:szCs w:val="18"/>
                <w:b w:val="1"/>
                <w:bCs w:val="1"/>
                <w:color w:val="auto"/>
                <w:w w:val="98"/>
              </w:rPr>
              <w:t>Year ended December 31,</w:t>
            </w:r>
          </w:p>
        </w:tc>
      </w:tr>
      <w:tr>
        <w:trPr>
          <w:trHeight w:val="223"/>
        </w:trPr>
        <w:tc>
          <w:tcPr>
            <w:tcW w:w="57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(As restated)</w:t>
            </w:r>
          </w:p>
        </w:tc>
        <w:tc>
          <w:tcPr>
            <w:tcW w:w="138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(As restated)</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900" w:type="dxa"/>
            <w:vAlign w:val="bottom"/>
            <w:gridSpan w:val="2"/>
            <w:shd w:val="clear" w:color="auto" w:fill="CCEEFF"/>
          </w:tcPr>
          <w:p>
            <w:pPr>
              <w:ind w:left="26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408,005</w:t>
            </w:r>
          </w:p>
        </w:tc>
        <w:tc>
          <w:tcPr>
            <w:tcW w:w="5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296,910</w:t>
            </w:r>
          </w:p>
        </w:tc>
        <w:tc>
          <w:tcPr>
            <w:tcW w:w="60" w:type="dxa"/>
            <w:vAlign w:val="bottom"/>
            <w:shd w:val="clear" w:color="auto" w:fill="CCEEFF"/>
          </w:tcPr>
          <w:p>
            <w:pPr>
              <w:spacing w:after="0"/>
              <w:rPr>
                <w:sz w:val="17"/>
                <w:szCs w:val="17"/>
                <w:color w:val="auto"/>
              </w:rPr>
            </w:pPr>
          </w:p>
        </w:tc>
      </w:tr>
      <w:tr>
        <w:trPr>
          <w:trHeight w:val="277"/>
        </w:trPr>
        <w:tc>
          <w:tcPr>
            <w:tcW w:w="5700" w:type="dxa"/>
            <w:vAlign w:val="bottom"/>
          </w:tcPr>
          <w:p>
            <w:pPr>
              <w:spacing w:after="0"/>
              <w:rPr>
                <w:sz w:val="20"/>
                <w:szCs w:val="20"/>
                <w:color w:val="auto"/>
              </w:rPr>
            </w:pPr>
            <w:r>
              <w:rPr>
                <w:rFonts w:ascii="Arial" w:cs="Arial" w:eastAsia="Arial" w:hAnsi="Arial"/>
                <w:sz w:val="18"/>
                <w:szCs w:val="18"/>
                <w:b w:val="1"/>
                <w:bCs w:val="1"/>
                <w:color w:val="auto"/>
              </w:rPr>
              <w:t>Cost and operating expenses</w:t>
            </w:r>
          </w:p>
        </w:tc>
        <w:tc>
          <w:tcPr>
            <w:tcW w:w="2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342,909</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247,670</w:t>
            </w:r>
          </w:p>
        </w:tc>
        <w:tc>
          <w:tcPr>
            <w:tcW w:w="6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13,822</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11,739</w:t>
            </w:r>
          </w:p>
        </w:tc>
        <w:tc>
          <w:tcPr>
            <w:tcW w:w="60" w:type="dxa"/>
            <w:vAlign w:val="bottom"/>
          </w:tcPr>
          <w:p>
            <w:pPr>
              <w:spacing w:after="0"/>
              <w:rPr>
                <w:sz w:val="17"/>
                <w:szCs w:val="17"/>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development</w:t>
            </w:r>
          </w:p>
        </w:tc>
        <w:tc>
          <w:tcPr>
            <w:tcW w:w="2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7,042</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10,339</w:t>
            </w:r>
          </w:p>
        </w:tc>
        <w:tc>
          <w:tcPr>
            <w:tcW w:w="60" w:type="dxa"/>
            <w:vAlign w:val="bottom"/>
            <w:shd w:val="clear" w:color="auto" w:fill="CCEEFF"/>
          </w:tcPr>
          <w:p>
            <w:pPr>
              <w:spacing w:after="0"/>
              <w:rPr>
                <w:sz w:val="17"/>
                <w:szCs w:val="17"/>
                <w:color w:val="auto"/>
              </w:rPr>
            </w:pPr>
          </w:p>
        </w:tc>
      </w:tr>
      <w:tr>
        <w:trPr>
          <w:trHeight w:val="209"/>
        </w:trPr>
        <w:tc>
          <w:tcPr>
            <w:tcW w:w="57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19,391</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7,843</w:t>
            </w:r>
          </w:p>
        </w:tc>
        <w:tc>
          <w:tcPr>
            <w:tcW w:w="60" w:type="dxa"/>
            <w:vAlign w:val="bottom"/>
          </w:tcPr>
          <w:p>
            <w:pPr>
              <w:spacing w:after="0"/>
              <w:rPr>
                <w:sz w:val="18"/>
                <w:szCs w:val="18"/>
                <w:color w:val="auto"/>
              </w:rPr>
            </w:pPr>
          </w:p>
        </w:tc>
      </w:tr>
      <w:tr>
        <w:trPr>
          <w:trHeight w:val="203"/>
        </w:trPr>
        <w:tc>
          <w:tcPr>
            <w:tcW w:w="5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cost and operating expenses</w:t>
            </w:r>
          </w:p>
        </w:tc>
        <w:tc>
          <w:tcPr>
            <w:tcW w:w="26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383,164</w:t>
            </w: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277,591</w:t>
            </w:r>
          </w:p>
        </w:tc>
        <w:tc>
          <w:tcPr>
            <w:tcW w:w="60" w:type="dxa"/>
            <w:vAlign w:val="bottom"/>
            <w:shd w:val="clear" w:color="auto" w:fill="CCEEFF"/>
          </w:tcPr>
          <w:p>
            <w:pPr>
              <w:spacing w:after="0"/>
              <w:rPr>
                <w:sz w:val="17"/>
                <w:szCs w:val="17"/>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24,841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19,319</w:t>
            </w:r>
          </w:p>
        </w:tc>
        <w:tc>
          <w:tcPr>
            <w:tcW w:w="60" w:type="dxa"/>
            <w:vAlign w:val="bottom"/>
          </w:tcPr>
          <w:p>
            <w:pPr>
              <w:spacing w:after="0"/>
              <w:rPr>
                <w:sz w:val="18"/>
                <w:szCs w:val="18"/>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6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7,021</w:t>
            </w: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c>
          <w:tcPr>
            <w:tcW w:w="60" w:type="dxa"/>
            <w:vAlign w:val="bottom"/>
            <w:shd w:val="clear" w:color="auto" w:fill="CCEEFF"/>
          </w:tcPr>
          <w:p>
            <w:pPr>
              <w:spacing w:after="0"/>
              <w:rPr>
                <w:sz w:val="17"/>
                <w:szCs w:val="17"/>
                <w:color w:val="auto"/>
              </w:rPr>
            </w:pPr>
          </w:p>
        </w:tc>
      </w:tr>
      <w:tr>
        <w:trPr>
          <w:trHeight w:val="222"/>
        </w:trPr>
        <w:tc>
          <w:tcPr>
            <w:tcW w:w="5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Net income</w:t>
            </w:r>
          </w:p>
        </w:tc>
        <w:tc>
          <w:tcPr>
            <w:tcW w:w="2900" w:type="dxa"/>
            <w:vAlign w:val="bottom"/>
            <w:tcBorders>
              <w:bottom w:val="single" w:sz="8" w:color="auto"/>
            </w:tcBorders>
            <w:gridSpan w:val="2"/>
          </w:tcPr>
          <w:p>
            <w:pPr>
              <w:ind w:left="26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17,820</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18,125</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Consolidated statements of changes in redeemable Class A units and</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members’ (deficit) equity</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820" w:type="dxa"/>
            <w:vAlign w:val="bottom"/>
            <w:gridSpan w:val="4"/>
            <w:vMerge w:val="restart"/>
          </w:tcPr>
          <w:p>
            <w:pPr>
              <w:jc w:val="right"/>
              <w:ind w:right="300"/>
              <w:spacing w:after="0"/>
              <w:rPr>
                <w:sz w:val="20"/>
                <w:szCs w:val="20"/>
                <w:color w:val="auto"/>
              </w:rPr>
            </w:pPr>
            <w:r>
              <w:rPr>
                <w:rFonts w:ascii="Arial" w:cs="Arial" w:eastAsia="Arial" w:hAnsi="Arial"/>
                <w:sz w:val="18"/>
                <w:szCs w:val="18"/>
                <w:b w:val="1"/>
                <w:bCs w:val="1"/>
                <w:color w:val="auto"/>
              </w:rPr>
              <w:t>Redeemable</w:t>
            </w:r>
          </w:p>
        </w:tc>
        <w:tc>
          <w:tcPr>
            <w:tcW w:w="80" w:type="dxa"/>
            <w:vAlign w:val="bottom"/>
          </w:tcPr>
          <w:p>
            <w:pPr>
              <w:spacing w:after="0"/>
              <w:rPr>
                <w:sz w:val="17"/>
                <w:szCs w:val="17"/>
                <w:color w:val="auto"/>
              </w:rPr>
            </w:pPr>
          </w:p>
        </w:tc>
        <w:tc>
          <w:tcPr>
            <w:tcW w:w="186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Class A Common</w:t>
            </w:r>
          </w:p>
        </w:tc>
        <w:tc>
          <w:tcPr>
            <w:tcW w:w="15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Class B Common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gridSpan w:val="3"/>
            <w:vMerge w:val="restart"/>
          </w:tcPr>
          <w:p>
            <w:pPr>
              <w:ind w:left="80"/>
              <w:spacing w:after="0" w:line="202" w:lineRule="exact"/>
              <w:rPr>
                <w:sz w:val="20"/>
                <w:szCs w:val="20"/>
                <w:color w:val="auto"/>
              </w:rPr>
            </w:pPr>
            <w:r>
              <w:rPr>
                <w:rFonts w:ascii="Arial" w:cs="Arial" w:eastAsia="Arial" w:hAnsi="Arial"/>
                <w:sz w:val="18"/>
                <w:szCs w:val="18"/>
                <w:b w:val="1"/>
                <w:bCs w:val="1"/>
                <w:color w:val="auto"/>
              </w:rPr>
              <w:t>members’</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gridSpan w:val="2"/>
            <w:vMerge w:val="restart"/>
          </w:tcPr>
          <w:p>
            <w:pPr>
              <w:jc w:val="right"/>
              <w:spacing w:after="0" w:line="201" w:lineRule="exact"/>
              <w:rPr>
                <w:sz w:val="20"/>
                <w:szCs w:val="20"/>
                <w:color w:val="auto"/>
              </w:rPr>
            </w:pPr>
            <w:r>
              <w:rPr>
                <w:rFonts w:ascii="Arial" w:cs="Arial" w:eastAsia="Arial" w:hAnsi="Arial"/>
                <w:sz w:val="18"/>
                <w:szCs w:val="18"/>
                <w:b w:val="1"/>
                <w:bCs w:val="1"/>
                <w:color w:val="auto"/>
              </w:rPr>
              <w:t>Class A</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vMerge w:val="restart"/>
          </w:tcPr>
          <w:p>
            <w:pPr>
              <w:jc w:val="right"/>
              <w:spacing w:after="0" w:line="201" w:lineRule="exact"/>
              <w:rPr>
                <w:sz w:val="20"/>
                <w:szCs w:val="20"/>
                <w:color w:val="auto"/>
              </w:rPr>
            </w:pPr>
            <w:r>
              <w:rPr>
                <w:rFonts w:ascii="Arial" w:cs="Arial" w:eastAsia="Arial" w:hAnsi="Arial"/>
                <w:sz w:val="18"/>
                <w:szCs w:val="18"/>
                <w:b w:val="1"/>
                <w:bCs w:val="1"/>
                <w:color w:val="auto"/>
              </w:rPr>
              <w:t>Units</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restart"/>
          </w:tcPr>
          <w:p>
            <w:pPr>
              <w:jc w:val="right"/>
              <w:spacing w:after="0" w:line="201" w:lineRule="exact"/>
              <w:rPr>
                <w:sz w:val="20"/>
                <w:szCs w:val="20"/>
                <w:color w:val="auto"/>
              </w:rPr>
            </w:pPr>
            <w:r>
              <w:rPr>
                <w:rFonts w:ascii="Arial" w:cs="Arial" w:eastAsia="Arial" w:hAnsi="Arial"/>
                <w:sz w:val="18"/>
                <w:szCs w:val="18"/>
                <w:b w:val="1"/>
                <w:bCs w:val="1"/>
                <w:color w:val="auto"/>
              </w:rPr>
              <w:t>Units</w:t>
            </w: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2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1400" w:type="dxa"/>
            <w:vAlign w:val="bottom"/>
            <w:gridSpan w:val="2"/>
            <w:vMerge w:val="restart"/>
          </w:tcPr>
          <w:p>
            <w:pPr>
              <w:ind w:left="160"/>
              <w:spacing w:after="0" w:line="202"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9"/>
                <w:szCs w:val="9"/>
                <w:color w:val="auto"/>
              </w:rPr>
            </w:pPr>
          </w:p>
        </w:tc>
        <w:tc>
          <w:tcPr>
            <w:tcW w:w="840" w:type="dxa"/>
            <w:vAlign w:val="bottom"/>
            <w:gridSpan w:val="2"/>
            <w:vMerge w:val="restart"/>
          </w:tcPr>
          <w:p>
            <w:pPr>
              <w:jc w:val="right"/>
              <w:ind w:right="120"/>
              <w:spacing w:after="0" w:line="202" w:lineRule="exact"/>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69"/>
        </w:trPr>
        <w:tc>
          <w:tcPr>
            <w:tcW w:w="3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Units</w:t>
            </w: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Units</w:t>
            </w: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Amount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Units</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Amount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Deficit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7"/>
        </w:trPr>
        <w:tc>
          <w:tcPr>
            <w:tcW w:w="32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December 31, 2017 (as</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restated)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1,136,842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$ 73,003</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81,590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2,126</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(37,720)</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37,409</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Class B issuance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19,000</w:t>
            </w:r>
          </w:p>
        </w:tc>
        <w:tc>
          <w:tcPr>
            <w:tcW w:w="2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B forfeited or cancelled</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420" w:type="dxa"/>
            <w:vAlign w:val="bottom"/>
          </w:tcPr>
          <w:p>
            <w:pPr>
              <w:spacing w:after="0"/>
              <w:rPr>
                <w:sz w:val="17"/>
                <w:szCs w:val="17"/>
                <w:color w:val="auto"/>
              </w:rPr>
            </w:pPr>
          </w:p>
        </w:tc>
        <w:tc>
          <w:tcPr>
            <w:tcW w:w="9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Member distributions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(15,878)</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(15,878)</w:t>
            </w:r>
          </w:p>
        </w:tc>
        <w:tc>
          <w:tcPr>
            <w:tcW w:w="0" w:type="dxa"/>
            <w:vAlign w:val="bottom"/>
          </w:tcPr>
          <w:p>
            <w:pPr>
              <w:spacing w:after="0"/>
              <w:rPr>
                <w:sz w:val="1"/>
                <w:szCs w:val="1"/>
                <w:color w:val="auto"/>
              </w:rPr>
            </w:pPr>
          </w:p>
        </w:tc>
      </w:tr>
      <w:tr>
        <w:trPr>
          <w:trHeight w:val="210"/>
        </w:trPr>
        <w:tc>
          <w:tcPr>
            <w:tcW w:w="32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18,125</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Balance at December 31, 2018 (as</w:t>
            </w: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right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restated)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1,136,842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$ 73,003</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98,090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2,950</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(35,473)</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40,480</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Class A issuance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284,211</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w w:val="98"/>
              </w:rPr>
              <w:t>62,806</w:t>
            </w:r>
          </w:p>
        </w:tc>
        <w:tc>
          <w:tcPr>
            <w:tcW w:w="8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repurchases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(284,211)</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(62,806)</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(62,806)</w:t>
            </w:r>
          </w:p>
        </w:tc>
        <w:tc>
          <w:tcPr>
            <w:tcW w:w="0" w:type="dxa"/>
            <w:vAlign w:val="bottom"/>
          </w:tcPr>
          <w:p>
            <w:pPr>
              <w:spacing w:after="0"/>
              <w:rPr>
                <w:sz w:val="1"/>
                <w:szCs w:val="1"/>
                <w:color w:val="auto"/>
              </w:rPr>
            </w:pPr>
          </w:p>
        </w:tc>
      </w:tr>
      <w:tr>
        <w:trPr>
          <w:trHeight w:val="206"/>
        </w:trPr>
        <w:tc>
          <w:tcPr>
            <w:tcW w:w="3280" w:type="dxa"/>
            <w:vAlign w:val="bottom"/>
          </w:tcPr>
          <w:p>
            <w:pPr>
              <w:spacing w:after="0" w:line="206" w:lineRule="exact"/>
              <w:rPr>
                <w:sz w:val="20"/>
                <w:szCs w:val="20"/>
                <w:color w:val="auto"/>
              </w:rPr>
            </w:pPr>
            <w:r>
              <w:rPr>
                <w:rFonts w:ascii="Arial" w:cs="Arial" w:eastAsia="Arial" w:hAnsi="Arial"/>
                <w:sz w:val="18"/>
                <w:szCs w:val="18"/>
                <w:color w:val="auto"/>
              </w:rPr>
              <w:t>Remeasurement of redeemable Class A</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80" w:type="dxa"/>
            <w:vAlign w:val="bottom"/>
          </w:tcPr>
          <w:p>
            <w:pPr>
              <w:ind w:left="220"/>
              <w:spacing w:after="0" w:line="200" w:lineRule="exact"/>
              <w:rPr>
                <w:sz w:val="20"/>
                <w:szCs w:val="20"/>
                <w:color w:val="auto"/>
              </w:rPr>
            </w:pPr>
            <w:r>
              <w:rPr>
                <w:rFonts w:ascii="Arial" w:cs="Arial" w:eastAsia="Arial" w:hAnsi="Arial"/>
                <w:sz w:val="18"/>
                <w:szCs w:val="18"/>
                <w:color w:val="auto"/>
              </w:rPr>
              <w:t>units</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00"/>
              <w:spacing w:after="0" w:line="200" w:lineRule="exact"/>
              <w:rPr>
                <w:sz w:val="20"/>
                <w:szCs w:val="20"/>
                <w:color w:val="auto"/>
              </w:rPr>
            </w:pPr>
            <w:r>
              <w:rPr>
                <w:rFonts w:ascii="Arial" w:cs="Arial" w:eastAsia="Arial" w:hAnsi="Arial"/>
                <w:sz w:val="18"/>
                <w:szCs w:val="18"/>
                <w:color w:val="auto"/>
                <w:w w:val="98"/>
              </w:rPr>
              <w:t>11,291</w:t>
            </w:r>
          </w:p>
        </w:tc>
        <w:tc>
          <w:tcPr>
            <w:tcW w:w="8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(11,291)</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B issuance</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100,738</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Class B repurchases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(31,799)</w:t>
            </w:r>
          </w:p>
        </w:tc>
        <w:tc>
          <w:tcPr>
            <w:tcW w:w="2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(5,753)</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B forfeited</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(3,229)</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3,594</w:t>
            </w:r>
          </w:p>
        </w:tc>
        <w:tc>
          <w:tcPr>
            <w:tcW w:w="420" w:type="dxa"/>
            <w:vAlign w:val="bottom"/>
          </w:tcPr>
          <w:p>
            <w:pPr>
              <w:spacing w:after="0"/>
              <w:rPr>
                <w:sz w:val="17"/>
                <w:szCs w:val="17"/>
                <w:color w:val="auto"/>
              </w:rPr>
            </w:pPr>
          </w:p>
        </w:tc>
        <w:tc>
          <w:tcPr>
            <w:tcW w:w="9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Member distributions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(95,640)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(95,640)</w:t>
            </w:r>
          </w:p>
        </w:tc>
        <w:tc>
          <w:tcPr>
            <w:tcW w:w="0" w:type="dxa"/>
            <w:vAlign w:val="bottom"/>
          </w:tcPr>
          <w:p>
            <w:pPr>
              <w:spacing w:after="0"/>
              <w:rPr>
                <w:sz w:val="1"/>
                <w:szCs w:val="1"/>
                <w:color w:val="auto"/>
              </w:rPr>
            </w:pPr>
          </w:p>
        </w:tc>
      </w:tr>
      <w:tr>
        <w:trPr>
          <w:trHeight w:val="209"/>
        </w:trPr>
        <w:tc>
          <w:tcPr>
            <w:tcW w:w="32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17,820</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17,820</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Balance at December 31, 2019 (as</w:t>
            </w: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restated)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284,211</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74,097</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852,631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$ 73,003</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163,800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6,544</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(193,143)</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(113,596)</w:t>
            </w: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right="5020"/>
        <w:spacing w:after="0" w:line="266" w:lineRule="auto"/>
        <w:rPr>
          <w:sz w:val="20"/>
          <w:szCs w:val="20"/>
          <w:color w:val="auto"/>
        </w:rPr>
      </w:pPr>
      <w:r>
        <w:rPr>
          <w:rFonts w:ascii="Arial" w:cs="Arial" w:eastAsia="Arial" w:hAnsi="Arial"/>
          <w:sz w:val="32"/>
          <w:szCs w:val="32"/>
          <w:b w:val="1"/>
          <w:bCs w:val="1"/>
          <w:color w:val="auto"/>
        </w:rPr>
        <w:t>QL Holdings LLC and subsidiaries Consolidated statements of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97"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8890</wp:posOffset>
            </wp:positionV>
            <wp:extent cx="17576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6" w:lineRule="exact"/>
        <w:rPr>
          <w:sz w:val="20"/>
          <w:szCs w:val="20"/>
          <w:color w:val="auto"/>
        </w:rPr>
      </w:pPr>
    </w:p>
    <w:p>
      <w:pPr>
        <w:jc w:val="both"/>
        <w:ind w:left="8940"/>
        <w:spacing w:after="0"/>
        <w:tabs>
          <w:tab w:leader="none" w:pos="106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-635</wp:posOffset>
            </wp:positionV>
            <wp:extent cx="17576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tabs>
          <w:tab w:leader="none" w:pos="1040" w:val="left"/>
        </w:tabs>
        <w:rPr>
          <w:sz w:val="20"/>
          <w:szCs w:val="20"/>
          <w:color w:val="auto"/>
        </w:rPr>
      </w:pPr>
      <w:r>
        <w:rPr>
          <w:rFonts w:ascii="Arial" w:cs="Arial" w:eastAsia="Arial" w:hAnsi="Arial"/>
          <w:sz w:val="18"/>
          <w:szCs w:val="18"/>
          <w:b w:val="1"/>
          <w:bCs w:val="1"/>
          <w:color w:val="auto"/>
        </w:rPr>
        <w:t>(As restated)</w:t>
      </w:r>
      <w:r>
        <w:rPr>
          <w:sz w:val="20"/>
          <w:szCs w:val="20"/>
          <w:color w:val="auto"/>
        </w:rPr>
        <w:tab/>
      </w:r>
      <w:r>
        <w:rPr>
          <w:rFonts w:ascii="Arial" w:cs="Arial" w:eastAsia="Arial" w:hAnsi="Arial"/>
          <w:sz w:val="16"/>
          <w:szCs w:val="16"/>
          <w:b w:val="1"/>
          <w:bCs w:val="1"/>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43" w:lineRule="exact"/>
        <w:rPr>
          <w:sz w:val="20"/>
          <w:szCs w:val="20"/>
          <w:color w:val="auto"/>
        </w:rPr>
      </w:pPr>
    </w:p>
    <w:p>
      <w:pPr>
        <w:ind w:left="340" w:right="1240" w:hanging="215"/>
        <w:spacing w:after="0" w:line="234" w:lineRule="auto"/>
        <w:rPr>
          <w:sz w:val="20"/>
          <w:szCs w:val="20"/>
          <w:color w:val="auto"/>
        </w:rPr>
      </w:pPr>
      <w:r>
        <w:rPr>
          <w:rFonts w:ascii="Arial" w:cs="Arial" w:eastAsia="Arial" w:hAnsi="Arial"/>
          <w:sz w:val="18"/>
          <w:szCs w:val="18"/>
          <w:color w:val="auto"/>
        </w:rPr>
        <w:t>Adjustments to reconcile net income to net cash provided by operating activities Non-cash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6" w:lineRule="auto"/>
        <w:rPr>
          <w:sz w:val="20"/>
          <w:szCs w:val="20"/>
          <w:color w:val="auto"/>
        </w:rPr>
      </w:pPr>
      <w:r>
        <w:rPr>
          <w:rFonts w:ascii="Arial" w:cs="Arial" w:eastAsia="Arial" w:hAnsi="Arial"/>
          <w:sz w:val="18"/>
          <w:szCs w:val="18"/>
          <w:color w:val="auto"/>
        </w:rPr>
        <w:t>Depreciation expense on property and equipment</w:t>
      </w:r>
    </w:p>
    <w:p>
      <w:pPr>
        <w:ind w:left="340"/>
        <w:spacing w:after="0" w:line="235" w:lineRule="auto"/>
        <w:rPr>
          <w:sz w:val="20"/>
          <w:szCs w:val="20"/>
          <w:color w:val="auto"/>
        </w:rPr>
      </w:pPr>
      <w:r>
        <w:rPr>
          <w:rFonts w:ascii="Arial" w:cs="Arial" w:eastAsia="Arial" w:hAnsi="Arial"/>
          <w:sz w:val="18"/>
          <w:szCs w:val="18"/>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Amortization of deferred debt issuance costs</w:t>
      </w:r>
    </w:p>
    <w:p>
      <w:pPr>
        <w:ind w:left="340"/>
        <w:spacing w:after="0" w:line="234" w:lineRule="auto"/>
        <w:rPr>
          <w:sz w:val="20"/>
          <w:szCs w:val="20"/>
          <w:color w:val="auto"/>
        </w:rPr>
      </w:pPr>
      <w:r>
        <w:rPr>
          <w:rFonts w:ascii="Arial" w:cs="Arial" w:eastAsia="Arial" w:hAnsi="Arial"/>
          <w:sz w:val="18"/>
          <w:szCs w:val="18"/>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Changes in operating assets and liabilities</w:t>
      </w:r>
    </w:p>
    <w:p>
      <w:pPr>
        <w:ind w:left="540"/>
        <w:spacing w:after="0" w:line="235" w:lineRule="auto"/>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Prepaid expenses and other current assets</w:t>
      </w:r>
    </w:p>
    <w:p>
      <w:pPr>
        <w:ind w:left="540"/>
        <w:spacing w:after="0" w:line="235" w:lineRule="auto"/>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Accrued expenses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cash provided by operating activities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Purchases of property and equipment</w:t>
      </w:r>
    </w:p>
    <w:p>
      <w:pPr>
        <w:ind w:left="120"/>
        <w:spacing w:after="0"/>
        <w:rPr>
          <w:sz w:val="20"/>
          <w:szCs w:val="20"/>
          <w:color w:val="auto"/>
        </w:rPr>
      </w:pPr>
      <w:r>
        <w:rPr>
          <w:rFonts w:ascii="Arial" w:cs="Arial" w:eastAsia="Arial" w:hAnsi="Arial"/>
          <w:sz w:val="18"/>
          <w:szCs w:val="18"/>
          <w:color w:val="auto"/>
        </w:rPr>
        <w:t>Acquisition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2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cash used in investing activities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Proceeds from revolving line of credit</w:t>
      </w:r>
    </w:p>
    <w:p>
      <w:pPr>
        <w:ind w:left="120"/>
        <w:spacing w:after="0" w:line="234" w:lineRule="auto"/>
        <w:rPr>
          <w:sz w:val="20"/>
          <w:szCs w:val="20"/>
          <w:color w:val="auto"/>
        </w:rPr>
      </w:pPr>
      <w:r>
        <w:rPr>
          <w:rFonts w:ascii="Arial" w:cs="Arial" w:eastAsia="Arial" w:hAnsi="Arial"/>
          <w:sz w:val="18"/>
          <w:szCs w:val="18"/>
          <w:color w:val="auto"/>
        </w:rPr>
        <w:t>Repayments on revolving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Proceeds from issuance of long-term debt</w:t>
      </w:r>
    </w:p>
    <w:p>
      <w:pPr>
        <w:ind w:left="120"/>
        <w:spacing w:after="0" w:line="235" w:lineRule="auto"/>
        <w:rPr>
          <w:sz w:val="20"/>
          <w:szCs w:val="20"/>
          <w:color w:val="auto"/>
        </w:rPr>
      </w:pPr>
      <w:r>
        <w:rPr>
          <w:rFonts w:ascii="Arial" w:cs="Arial" w:eastAsia="Arial" w:hAnsi="Arial"/>
          <w:sz w:val="18"/>
          <w:szCs w:val="18"/>
          <w:color w:val="auto"/>
        </w:rPr>
        <w:t>Repayments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Payments of debt issuance costs</w:t>
      </w:r>
    </w:p>
    <w:p>
      <w:pPr>
        <w:ind w:left="120"/>
        <w:spacing w:after="0" w:line="235" w:lineRule="auto"/>
        <w:rPr>
          <w:sz w:val="20"/>
          <w:szCs w:val="20"/>
          <w:color w:val="auto"/>
        </w:rPr>
      </w:pPr>
      <w:r>
        <w:rPr>
          <w:rFonts w:ascii="Arial" w:cs="Arial" w:eastAsia="Arial" w:hAnsi="Arial"/>
          <w:sz w:val="18"/>
          <w:szCs w:val="18"/>
          <w:color w:val="auto"/>
        </w:rPr>
        <w:t>Cash paid to repurchase Class B units up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Cash paid for repurchases of Class A units</w:t>
      </w:r>
    </w:p>
    <w:p>
      <w:pPr>
        <w:ind w:left="120"/>
        <w:spacing w:after="0" w:line="235" w:lineRule="auto"/>
        <w:rPr>
          <w:sz w:val="20"/>
          <w:szCs w:val="20"/>
          <w:color w:val="auto"/>
        </w:rPr>
      </w:pPr>
      <w:r>
        <w:rPr>
          <w:rFonts w:ascii="Arial" w:cs="Arial" w:eastAsia="Arial" w:hAnsi="Arial"/>
          <w:sz w:val="18"/>
          <w:szCs w:val="18"/>
          <w:color w:val="auto"/>
        </w:rPr>
        <w:t>Member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1" w:lineRule="auto"/>
        <w:rPr>
          <w:sz w:val="20"/>
          <w:szCs w:val="20"/>
          <w:color w:val="auto"/>
        </w:rPr>
      </w:pPr>
      <w:r>
        <w:rPr>
          <w:rFonts w:ascii="Arial" w:cs="Arial" w:eastAsia="Arial" w:hAnsi="Arial"/>
          <w:sz w:val="18"/>
          <w:szCs w:val="18"/>
          <w:color w:val="auto"/>
        </w:rPr>
        <w:t>Member distributions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17,820</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18,125</w:t>
            </w:r>
          </w:p>
        </w:tc>
      </w:tr>
      <w:tr>
        <w:trPr>
          <w:trHeight w:val="464"/>
        </w:trPr>
        <w:tc>
          <w:tcPr>
            <w:tcW w:w="320" w:type="dxa"/>
            <w:vAlign w:val="bottom"/>
          </w:tcPr>
          <w:p>
            <w:pPr>
              <w:spacing w:after="0"/>
              <w:rPr>
                <w:sz w:val="24"/>
                <w:szCs w:val="24"/>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2,308</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03"/>
        </w:trPr>
        <w:tc>
          <w:tcPr>
            <w:tcW w:w="320" w:type="dxa"/>
            <w:vAlign w:val="bottom"/>
          </w:tcPr>
          <w:p>
            <w:pPr>
              <w:spacing w:after="0"/>
              <w:rPr>
                <w:sz w:val="17"/>
                <w:szCs w:val="17"/>
                <w:color w:val="auto"/>
              </w:rPr>
            </w:pP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272</w:t>
            </w:r>
          </w:p>
        </w:tc>
        <w:tc>
          <w:tcPr>
            <w:tcW w:w="6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r>
      <w:tr>
        <w:trPr>
          <w:trHeight w:val="203"/>
        </w:trPr>
        <w:tc>
          <w:tcPr>
            <w:tcW w:w="320" w:type="dxa"/>
            <w:vAlign w:val="bottom"/>
          </w:tcPr>
          <w:p>
            <w:pPr>
              <w:spacing w:after="0"/>
              <w:rPr>
                <w:sz w:val="17"/>
                <w:szCs w:val="17"/>
                <w:color w:val="auto"/>
              </w:rPr>
            </w:pP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5,381</w:t>
            </w:r>
          </w:p>
        </w:tc>
        <w:tc>
          <w:tcPr>
            <w:tcW w:w="6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11,769</w:t>
            </w:r>
          </w:p>
        </w:tc>
      </w:tr>
      <w:tr>
        <w:trPr>
          <w:trHeight w:val="203"/>
        </w:trPr>
        <w:tc>
          <w:tcPr>
            <w:tcW w:w="320" w:type="dxa"/>
            <w:vAlign w:val="bottom"/>
          </w:tcPr>
          <w:p>
            <w:pPr>
              <w:spacing w:after="0"/>
              <w:rPr>
                <w:sz w:val="17"/>
                <w:szCs w:val="17"/>
                <w:color w:val="auto"/>
              </w:rPr>
            </w:pP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665</w:t>
            </w:r>
          </w:p>
        </w:tc>
        <w:tc>
          <w:tcPr>
            <w:tcW w:w="6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11"/>
        </w:trPr>
        <w:tc>
          <w:tcPr>
            <w:tcW w:w="32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354</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w:t>
            </w:r>
          </w:p>
        </w:tc>
      </w:tr>
    </w:tbl>
    <w:p>
      <w:pPr>
        <w:spacing w:after="0" w:line="190" w:lineRule="exact"/>
        <w:rPr>
          <w:sz w:val="20"/>
          <w:szCs w:val="20"/>
          <w:color w:val="auto"/>
        </w:rPr>
      </w:pPr>
    </w:p>
    <w:p>
      <w:pPr>
        <w:jc w:val="both"/>
        <w:ind w:left="480"/>
        <w:spacing w:after="0"/>
        <w:tabs>
          <w:tab w:leader="none" w:pos="2240" w:val="left"/>
        </w:tabs>
        <w:rPr>
          <w:sz w:val="20"/>
          <w:szCs w:val="20"/>
          <w:color w:val="auto"/>
        </w:rPr>
      </w:pPr>
      <w:r>
        <w:rPr>
          <w:rFonts w:ascii="Arial" w:cs="Arial" w:eastAsia="Arial" w:hAnsi="Arial"/>
          <w:sz w:val="18"/>
          <w:szCs w:val="18"/>
          <w:color w:val="auto"/>
        </w:rPr>
        <w:t>(19,216)</w:t>
      </w:r>
      <w:r>
        <w:rPr>
          <w:sz w:val="20"/>
          <w:szCs w:val="20"/>
          <w:color w:val="auto"/>
        </w:rPr>
        <w:tab/>
      </w:r>
      <w:r>
        <w:rPr>
          <w:rFonts w:ascii="Arial" w:cs="Arial" w:eastAsia="Arial" w:hAnsi="Arial"/>
          <w:sz w:val="18"/>
          <w:szCs w:val="18"/>
          <w:color w:val="auto"/>
        </w:rPr>
        <w:t>(5,155)</w:t>
      </w:r>
    </w:p>
    <w:p>
      <w:pPr>
        <w:ind w:left="2420" w:hanging="1695"/>
        <w:spacing w:after="0"/>
        <w:tabs>
          <w:tab w:leader="none" w:pos="24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(262)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512"/>
              <w:spacing w:after="0"/>
              <w:rPr>
                <w:sz w:val="20"/>
                <w:szCs w:val="20"/>
                <w:color w:val="auto"/>
              </w:rPr>
            </w:pPr>
            <w:r>
              <w:rPr>
                <w:rFonts w:ascii="Arial" w:cs="Arial" w:eastAsia="Arial" w:hAnsi="Arial"/>
                <w:sz w:val="18"/>
                <w:szCs w:val="18"/>
                <w:color w:val="auto"/>
              </w:rPr>
              <w:t>13,441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(5,373)</w:t>
            </w:r>
          </w:p>
        </w:tc>
      </w:tr>
      <w:tr>
        <w:trPr>
          <w:trHeight w:val="203"/>
        </w:trPr>
        <w:tc>
          <w:tcPr>
            <w:tcW w:w="16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1,372</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1,789</w:t>
            </w:r>
          </w:p>
        </w:tc>
        <w:tc>
          <w:tcPr>
            <w:tcW w:w="60" w:type="dxa"/>
            <w:vAlign w:val="bottom"/>
          </w:tcPr>
          <w:p>
            <w:pPr>
              <w:spacing w:after="0"/>
              <w:rPr>
                <w:sz w:val="17"/>
                <w:szCs w:val="17"/>
                <w:color w:val="auto"/>
              </w:rPr>
            </w:pPr>
          </w:p>
        </w:tc>
      </w:tr>
      <w:tr>
        <w:trPr>
          <w:trHeight w:val="199"/>
        </w:trPr>
        <w:tc>
          <w:tcPr>
            <w:tcW w:w="1680" w:type="dxa"/>
            <w:vAlign w:val="bottom"/>
            <w:tcBorders>
              <w:bottom w:val="single" w:sz="8" w:color="auto"/>
            </w:tcBorders>
          </w:tcPr>
          <w:p>
            <w:pPr>
              <w:jc w:val="right"/>
              <w:ind w:right="452"/>
              <w:spacing w:after="0" w:line="200" w:lineRule="exact"/>
              <w:rPr>
                <w:sz w:val="20"/>
                <w:szCs w:val="20"/>
                <w:color w:val="auto"/>
              </w:rPr>
            </w:pPr>
            <w:r>
              <w:rPr>
                <w:rFonts w:ascii="Arial" w:cs="Arial" w:eastAsia="Arial" w:hAnsi="Arial"/>
                <w:sz w:val="18"/>
                <w:szCs w:val="18"/>
                <w:color w:val="auto"/>
              </w:rPr>
              <w:t>(92)</w:t>
            </w:r>
          </w:p>
        </w:tc>
        <w:tc>
          <w:tcPr>
            <w:tcW w:w="10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197</w:t>
            </w:r>
          </w:p>
        </w:tc>
        <w:tc>
          <w:tcPr>
            <w:tcW w:w="60" w:type="dxa"/>
            <w:vAlign w:val="bottom"/>
          </w:tcPr>
          <w:p>
            <w:pPr>
              <w:spacing w:after="0"/>
              <w:rPr>
                <w:sz w:val="17"/>
                <w:szCs w:val="17"/>
                <w:color w:val="auto"/>
              </w:rPr>
            </w:pPr>
          </w:p>
        </w:tc>
      </w:tr>
      <w:tr>
        <w:trPr>
          <w:trHeight w:val="209"/>
        </w:trPr>
        <w:tc>
          <w:tcPr>
            <w:tcW w:w="16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22,143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w:t>
            </w:r>
          </w:p>
        </w:tc>
        <w:tc>
          <w:tcPr>
            <w:tcW w:w="60" w:type="dxa"/>
            <w:vAlign w:val="bottom"/>
          </w:tcPr>
          <w:p>
            <w:pPr>
              <w:spacing w:after="0"/>
              <w:rPr>
                <w:sz w:val="18"/>
                <w:szCs w:val="18"/>
                <w:color w:val="auto"/>
              </w:rPr>
            </w:pPr>
          </w:p>
        </w:tc>
      </w:tr>
      <w:tr>
        <w:trPr>
          <w:trHeight w:val="483"/>
        </w:trPr>
        <w:tc>
          <w:tcPr>
            <w:tcW w:w="1680" w:type="dxa"/>
            <w:vAlign w:val="bottom"/>
          </w:tcPr>
          <w:p>
            <w:pPr>
              <w:jc w:val="right"/>
              <w:ind w:right="452"/>
              <w:spacing w:after="0"/>
              <w:rPr>
                <w:sz w:val="20"/>
                <w:szCs w:val="20"/>
                <w:color w:val="auto"/>
              </w:rPr>
            </w:pPr>
            <w:r>
              <w:rPr>
                <w:rFonts w:ascii="Arial" w:cs="Arial" w:eastAsia="Arial" w:hAnsi="Arial"/>
                <w:sz w:val="18"/>
                <w:szCs w:val="18"/>
                <w:color w:val="auto"/>
              </w:rPr>
              <w:t>(146)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(630)</w:t>
            </w:r>
          </w:p>
        </w:tc>
      </w:tr>
      <w:tr>
        <w:trPr>
          <w:trHeight w:val="211"/>
        </w:trPr>
        <w:tc>
          <w:tcPr>
            <w:tcW w:w="1680" w:type="dxa"/>
            <w:vAlign w:val="bottom"/>
          </w:tcPr>
          <w:p>
            <w:pPr>
              <w:jc w:val="right"/>
              <w:ind w:right="452"/>
              <w:spacing w:after="0"/>
              <w:rPr>
                <w:sz w:val="20"/>
                <w:szCs w:val="20"/>
                <w:color w:val="auto"/>
              </w:rPr>
            </w:pPr>
            <w:r>
              <w:rPr>
                <w:rFonts w:ascii="Arial" w:cs="Arial" w:eastAsia="Arial" w:hAnsi="Arial"/>
                <w:sz w:val="18"/>
                <w:szCs w:val="18"/>
                <w:color w:val="auto"/>
              </w:rPr>
              <w:t>(148)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576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ind w:left="2420" w:hanging="1695"/>
        <w:spacing w:after="0"/>
        <w:tabs>
          <w:tab w:leader="none" w:pos="2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7576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29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3,000</w:t>
      </w: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(9,000)</w:t>
      </w:r>
    </w:p>
    <w:p>
      <w:pPr>
        <w:ind w:left="440"/>
        <w:spacing w:after="0" w:line="234" w:lineRule="auto"/>
        <w:rPr>
          <w:sz w:val="20"/>
          <w:szCs w:val="20"/>
          <w:color w:val="auto"/>
        </w:rPr>
      </w:pPr>
      <w:r>
        <w:rPr>
          <w:rFonts w:ascii="Arial" w:cs="Arial" w:eastAsia="Arial" w:hAnsi="Arial"/>
          <w:sz w:val="18"/>
          <w:szCs w:val="18"/>
          <w:color w:val="auto"/>
        </w:rPr>
        <w:t>100,000—</w:t>
      </w:r>
    </w:p>
    <w:p>
      <w:pPr>
        <w:ind w:left="480"/>
        <w:spacing w:after="0"/>
        <w:rPr>
          <w:sz w:val="20"/>
          <w:szCs w:val="20"/>
          <w:color w:val="auto"/>
        </w:rPr>
      </w:pPr>
      <w:r>
        <w:rPr>
          <w:rFonts w:ascii="Arial" w:cs="Arial" w:eastAsia="Arial" w:hAnsi="Arial"/>
          <w:sz w:val="18"/>
          <w:szCs w:val="18"/>
          <w:color w:val="auto"/>
        </w:rPr>
        <w:t>(15,073)</w:t>
      </w:r>
      <w:r>
        <w:rPr>
          <w:rFonts w:ascii="Arial" w:cs="Arial" w:eastAsia="Arial" w:hAnsi="Arial"/>
          <w:sz w:val="16"/>
          <w:szCs w:val="16"/>
          <w:color w:val="auto"/>
        </w:rPr>
        <w:t>(3,567)</w:t>
      </w:r>
    </w:p>
    <w:p>
      <w:pPr>
        <w:ind w:left="580"/>
        <w:spacing w:after="0" w:line="234" w:lineRule="auto"/>
        <w:rPr>
          <w:sz w:val="20"/>
          <w:szCs w:val="20"/>
          <w:color w:val="auto"/>
        </w:rPr>
      </w:pPr>
      <w:r>
        <w:rPr>
          <w:rFonts w:ascii="Arial" w:cs="Arial" w:eastAsia="Arial" w:hAnsi="Arial"/>
          <w:sz w:val="18"/>
          <w:szCs w:val="18"/>
          <w:color w:val="auto"/>
        </w:rPr>
        <w:t>(2,303)—</w:t>
      </w:r>
    </w:p>
    <w:p>
      <w:pPr>
        <w:ind w:left="580"/>
        <w:spacing w:after="0" w:line="234" w:lineRule="auto"/>
        <w:rPr>
          <w:sz w:val="20"/>
          <w:szCs w:val="20"/>
          <w:color w:val="auto"/>
        </w:rPr>
      </w:pPr>
      <w:r>
        <w:rPr>
          <w:rFonts w:ascii="Arial" w:cs="Arial" w:eastAsia="Arial" w:hAnsi="Arial"/>
          <w:sz w:val="18"/>
          <w:szCs w:val="18"/>
          <w:color w:val="auto"/>
        </w:rPr>
        <w:t>(4,467)—</w:t>
      </w:r>
    </w:p>
    <w:p>
      <w:pPr>
        <w:ind w:left="480"/>
        <w:spacing w:after="0" w:line="234" w:lineRule="auto"/>
        <w:rPr>
          <w:sz w:val="20"/>
          <w:szCs w:val="20"/>
          <w:color w:val="auto"/>
        </w:rPr>
      </w:pPr>
      <w:r>
        <w:rPr>
          <w:rFonts w:ascii="Arial" w:cs="Arial" w:eastAsia="Arial" w:hAnsi="Arial"/>
          <w:sz w:val="18"/>
          <w:szCs w:val="18"/>
          <w:color w:val="auto"/>
        </w:rPr>
        <w:t>(62,806)—</w:t>
      </w:r>
    </w:p>
    <w:p>
      <w:pPr>
        <w:ind w:left="540"/>
        <w:spacing w:after="0" w:line="234" w:lineRule="auto"/>
        <w:rPr>
          <w:sz w:val="20"/>
          <w:szCs w:val="20"/>
          <w:color w:val="auto"/>
        </w:rPr>
      </w:pPr>
      <w:r>
        <w:rPr>
          <w:rFonts w:ascii="Arial" w:cs="Arial" w:eastAsia="Arial" w:hAnsi="Arial"/>
          <w:sz w:val="18"/>
          <w:szCs w:val="18"/>
          <w:color w:val="auto"/>
        </w:rPr>
        <w:t>62,806—</w:t>
      </w:r>
    </w:p>
    <w:p>
      <w:pPr>
        <w:ind w:left="480"/>
        <w:spacing w:after="0"/>
        <w:rPr>
          <w:sz w:val="20"/>
          <w:szCs w:val="20"/>
          <w:color w:val="auto"/>
        </w:rPr>
      </w:pPr>
      <w:r>
        <w:rPr>
          <w:rFonts w:ascii="Arial" w:cs="Arial" w:eastAsia="Arial" w:hAnsi="Arial"/>
          <w:sz w:val="18"/>
          <w:szCs w:val="18"/>
          <w:color w:val="auto"/>
        </w:rPr>
        <w:t>(95,640)</w:t>
      </w:r>
      <w:r>
        <w:rPr>
          <w:rFonts w:ascii="Arial" w:cs="Arial" w:eastAsia="Arial" w:hAnsi="Arial"/>
          <w:sz w:val="16"/>
          <w:szCs w:val="16"/>
          <w:color w:val="auto"/>
        </w:rPr>
        <w:t>(15,878)</w:t>
      </w:r>
    </w:p>
    <w:p>
      <w:pPr>
        <w:spacing w:after="0" w:line="20" w:lineRule="exact"/>
        <w:rPr>
          <w:sz w:val="20"/>
          <w:szCs w:val="20"/>
          <w:color w:val="auto"/>
        </w:rPr>
      </w:pPr>
    </w:p>
    <w:p>
      <w:pPr>
        <w:sectPr>
          <w:pgSz w:w="11900" w:h="16838" w:orient="portrait"/>
          <w:cols w:equalWidth="0" w:num="2">
            <w:col w:w="7540" w:space="720"/>
            <w:col w:w="28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6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6560" w:type="dxa"/>
            <w:vAlign w:val="bottom"/>
          </w:tcPr>
          <w:p>
            <w:pPr>
              <w:ind w:left="640"/>
              <w:spacing w:after="0" w:line="189" w:lineRule="exact"/>
              <w:rPr>
                <w:sz w:val="20"/>
                <w:szCs w:val="20"/>
                <w:color w:val="auto"/>
              </w:rPr>
            </w:pPr>
            <w:r>
              <w:rPr>
                <w:rFonts w:ascii="Arial" w:cs="Arial" w:eastAsia="Arial" w:hAnsi="Arial"/>
                <w:sz w:val="18"/>
                <w:szCs w:val="18"/>
                <w:color w:val="auto"/>
              </w:rPr>
              <w:t>Net cash used in financing activities</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172"/>
              <w:spacing w:after="0" w:line="189" w:lineRule="exact"/>
              <w:rPr>
                <w:sz w:val="20"/>
                <w:szCs w:val="20"/>
                <w:color w:val="auto"/>
              </w:rPr>
            </w:pPr>
            <w:r>
              <w:rPr>
                <w:rFonts w:ascii="Arial" w:cs="Arial" w:eastAsia="Arial" w:hAnsi="Arial"/>
                <w:sz w:val="18"/>
                <w:szCs w:val="18"/>
                <w:color w:val="auto"/>
              </w:rPr>
              <w:t>(17,483)</w:t>
            </w:r>
          </w:p>
        </w:tc>
        <w:tc>
          <w:tcPr>
            <w:tcW w:w="5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(25,445)</w:t>
            </w:r>
          </w:p>
        </w:tc>
      </w:tr>
      <w:tr>
        <w:trPr>
          <w:trHeight w:val="74"/>
        </w:trPr>
        <w:tc>
          <w:tcPr>
            <w:tcW w:w="65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4,366</w:t>
            </w: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(3,436)</w:t>
            </w:r>
          </w:p>
        </w:tc>
      </w:tr>
      <w:tr>
        <w:trPr>
          <w:trHeight w:val="210"/>
        </w:trPr>
        <w:tc>
          <w:tcPr>
            <w:tcW w:w="656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color w:val="auto"/>
              </w:rPr>
              <w:t>5,662</w:t>
            </w: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9,098</w:t>
            </w:r>
          </w:p>
        </w:tc>
        <w:tc>
          <w:tcPr>
            <w:tcW w:w="120" w:type="dxa"/>
            <w:vAlign w:val="bottom"/>
          </w:tcPr>
          <w:p>
            <w:pPr>
              <w:spacing w:after="0"/>
              <w:rPr>
                <w:sz w:val="18"/>
                <w:szCs w:val="18"/>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10,028</w:t>
            </w:r>
          </w:p>
        </w:tc>
        <w:tc>
          <w:tcPr>
            <w:tcW w:w="5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5,662</w:t>
            </w:r>
          </w:p>
        </w:tc>
        <w:tc>
          <w:tcPr>
            <w:tcW w:w="120" w:type="dxa"/>
            <w:vAlign w:val="bottom"/>
            <w:shd w:val="clear" w:color="auto" w:fill="CCEEFF"/>
          </w:tcPr>
          <w:p>
            <w:pPr>
              <w:spacing w:after="0"/>
              <w:rPr>
                <w:sz w:val="17"/>
                <w:szCs w:val="17"/>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interest</w:t>
            </w:r>
          </w:p>
        </w:tc>
        <w:tc>
          <w:tcPr>
            <w:tcW w:w="1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6,399</w:t>
            </w:r>
          </w:p>
        </w:tc>
        <w:tc>
          <w:tcPr>
            <w:tcW w:w="5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7"/>
                <w:szCs w:val="17"/>
                <w:color w:val="auto"/>
              </w:rPr>
            </w:pP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rPr>
              <w:t>Cash paid for repurchase of Class B units in excess of fair value</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1,286</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5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4"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Organization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Formation and acquisition</w:t>
      </w:r>
    </w:p>
    <w:p>
      <w:pPr>
        <w:spacing w:after="0" w:line="124" w:lineRule="exact"/>
        <w:rPr>
          <w:sz w:val="20"/>
          <w:szCs w:val="20"/>
          <w:color w:val="auto"/>
        </w:rPr>
      </w:pPr>
    </w:p>
    <w:p>
      <w:pPr>
        <w:ind w:left="120" w:right="180"/>
        <w:spacing w:after="0" w:line="272" w:lineRule="auto"/>
        <w:rPr>
          <w:sz w:val="20"/>
          <w:szCs w:val="20"/>
          <w:color w:val="auto"/>
        </w:rPr>
      </w:pPr>
      <w:r>
        <w:rPr>
          <w:rFonts w:ascii="Arial" w:cs="Arial" w:eastAsia="Arial" w:hAnsi="Arial"/>
          <w:sz w:val="16"/>
          <w:szCs w:val="16"/>
          <w:color w:val="auto"/>
        </w:rPr>
        <w:t>QL Holdings LLC (“QLH”), a Delaware limited liability company, was formed on March 7, 2014, for the sole purpose of reorganizing the ownership structure of Quote Lab, Inc. (“QL Inc.”) and MediaAlpha Ventures, LLC (“MAV”) in order to effectuate the purchase of 60% of the membership interests of QLH by White Mountains Capital, Inc. (“WMC”), pursuant to the membership interest purchase agreement effective March 14, 2014 (the “Acquisition” or “Closing”). Concurrent to the Closing, QL Inc. was restructured into QuoteLab, LLC (“QL”), a Delaware limited liability company, and the historical owners (collectively, the “Sellers”) transferred all ownership of QL and MAV to QLH.</w:t>
      </w:r>
    </w:p>
    <w:p>
      <w:pPr>
        <w:spacing w:after="0" w:line="78" w:lineRule="exact"/>
        <w:rPr>
          <w:sz w:val="20"/>
          <w:szCs w:val="20"/>
          <w:color w:val="auto"/>
        </w:rPr>
      </w:pPr>
    </w:p>
    <w:p>
      <w:pPr>
        <w:ind w:left="120" w:right="120"/>
        <w:spacing w:after="0" w:line="271" w:lineRule="auto"/>
        <w:rPr>
          <w:sz w:val="20"/>
          <w:szCs w:val="20"/>
          <w:color w:val="auto"/>
        </w:rPr>
      </w:pPr>
      <w:r>
        <w:rPr>
          <w:rFonts w:ascii="Arial" w:cs="Arial" w:eastAsia="Arial" w:hAnsi="Arial"/>
          <w:sz w:val="16"/>
          <w:szCs w:val="16"/>
          <w:color w:val="auto"/>
        </w:rPr>
        <w:t xml:space="preserve">The Acquisition was accounted for under the acquisition method of accounting in accordance with Financial Standards Board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under which the purchase price was allocated to the assets acquired and liabilities assumed based on the estimated fair values at the date of the Acquisition. In accordance with ASC 805, QLH and its wholly owned subsidiaries QL and MAV (collectively, the “Company”) elected the option to apply pushdown accounting, and accordingly recorded goodwill to the extent the purchase price exceeded the fair value of assets acquired, net of liabilities assumed, on the account records of QLH. The Company prepared the valuations for all identifiable intangible assets acquired internally.</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September 26, 2016, MAV was dissolved to effectuate a merger with QL.</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Insignia Capital Group</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connection with a recapitalization transaction (“Insignia Recapitalization”), on February 26, 2019, Insignia Capital Group (“ICG”) acquired 284,211 Class A units from the Company for $62.8 million, and the Company immediately repurchased 25% of the Class A units from WMC and the founders, and 25% of outstanding Class B units from Class B unitholders, for an aggregate of $62.8 million. As part of that transaction, QL entered into a new secured credit facility with Monroe Capital Management Advisors, LLC (“Monroe Capital”) on February 26, 2019. See Note 8 for more information. WMC remains a significant equity holder in QLH with a 42% ownership interest on a fully-diluted basis. ICG is a significant minority equity holder in QLH with a 22% ownership interest on a fully-diluted basis. MediaAlpha’s founders continue to lead the business, and each remains a significant equity holder.</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 incurred total transaction expenses of $8.8 million related to the sale of Class A units to Insignia Capital Group. The transaction expenses consisted of $7.2 million of legal, investment banking, and other consulting fees and $1.6 million in transaction bonuses which were recorded in general and administrative expenses in the consolidated statements of operations. The Company recorded $2.3 million in fees related to the closing of the new secured credit facility with Monroe Capital as a reduction of long-term debt in the consolidated balance sheets.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24"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Company does business as MediaAlpha. MediaAlpha specializes in end customer acquisition for insurance carriers, distributors and other clients in various verticals, including property &amp; casualty insurance, health insurance and life insurance. The corporate headquarter is located in Los Angeles, California, with additional offices throughout the United States.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COVID-19 pandemic is currently impacting the United States and many countries around the world. The outbreak and government measures taken in response have had a significant impact, both direct and indirect, on businesses and commerce. The future progression of the pandemic and its effects on the Company’s business and operations are uncertain and the Company is unable to estimate the full impact at this time. However, the Company’s travel vertical has experienced a decline in revenue and the Company expects this trend to continue indefinitely. Although the Company does not believe the situation will materially impact the Company’s liquidity or capital position, the Company does not expect revenue from the travel vertical to recover in the foreseeable future.</w:t>
      </w:r>
    </w:p>
    <w:p>
      <w:pPr>
        <w:spacing w:after="0" w:line="102"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The Company is monitoring the potential impact of the COVID-19 pandemic on its business and financial statements. To date, the Company has not experienced material business disruptions or incurred impairment losses in the carrying values of its assets as result of the pandemic and it is not aware of any specific related event or circumstance that would require it to revise its estimates reflected in these consolidated financial statements. The extent to which the COVID-19 pandemic will further impact the Company’s business, results of operations and financial condition, will depend on future developments that are highly uncertain, including as a result of new information that may emerge concerning COVID-19, the actions taken to contain or treat it, and the duration and intensity of the related effects.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Restatement of previously issued consolidated financial statements</w:t>
      </w:r>
    </w:p>
    <w:p>
      <w:pPr>
        <w:spacing w:after="0" w:line="13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The Company identified certain errors to its previously issued (March 2020) consolidated financial statements as of and for the years ended December 31, 2019 and 2018, respectively, that were material.</w:t>
      </w:r>
    </w:p>
    <w:p>
      <w:pPr>
        <w:spacing w:after="0" w:line="101"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nature of the restatement adjustments and the impact of these adjustments on the consolidated balance sheets, statements of operations, statements of changes in redeemable Class A units and members’ (deficit) equity and statements of cash flows as of and for the years ended December 31, 2019 and 2018 are discussed further below. The restatement adjustments resulted in a net decrease of $1.5 million in the previously reported accumulated deficit from $(36.2) million to $(37.7) million as of January 1,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Restatement Adjustments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categories of restatement adjustments and their impact on the previously issued consolidated financial statements are described below.</w:t>
      </w:r>
    </w:p>
    <w:p>
      <w:pPr>
        <w:spacing w:after="0" w:line="127"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Mezzanine presentation and subsequent measurement of redeemable Class A units—The Company historically did not distinguish its redeemable Class A units from non-redeemable Class A units and presented both within the members’ (deficit) equity section of the consolidated balance sheets. However, the redeemable Class A units contain provisions that may result in redemption not solely within the control of the Company, which require the redeemable Class A units to be presented in the mezzanine section of the consolidated balance sheet. Further, at each reporting period, these units are remeasured to its redemption value as defined in the Company’s limited liability company agreement. The initial carrying value of the redeemable Class A units, $62.8 million, was adjusted from members’ (deficit) equity to the mezzanine section of the consolidated balance sheet and an increase of $11.3 million was recorded to the redeemable Class A units with an offsetting increase to accumulated deficit to record the redemption value adjustment of the units as of December 31, 2019.</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Equity-based compensation—The Company identified an error in the historical accounting for its Class B units issued under its Class B Restricted Unit Plan. The Company previously recognized equity-based compensation expense when it was deemed likely that a Class B unit holder’s participation threshold would be met, with expense and related amortization recognized over the remaining service period. However, the Company determined that the participation threshold does not constitute a performance condition for vesting, but instead represents a feature of the Class B unit itself, and as a result, equity-based compensation expense should have been recorded over the service period commencing at the grant date, measured based on the fair value per unit. Additionally, the Company determined that the historical method it used to determine the grant date fair value of equity-based compensation was not permissible and appropriately applied under the guidance and that the Company did not appropriately account for repurchases of equity awards. For the year ended December 31, 2019, the impact of this change was a $0.4 million increase to total cost and operating expenses. For the year ended December 31, 2018, the impact of this change was a $10.9 million decrease to total cost and operating expenses. The carrying value of the Class B units decreased by $8.4 million and $8.8 million, respectively, as of December 31, 2019 and 2018. An increase of $2.1 million has been recorded to the carrying value of the Class B units and to accumulated deficit as of January 1, 2018 to recognize the cumulative effect of errors in equity-based compensation expense prior to January 1, 2018.</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Misclassifications and other immaterial errors—The Company has identified and corrected immaterial rounding, classification and other errors in the previously issued consolidated financial statements as of and for the years ended December 31, 2019 and 2018.</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As of December 31, 2019</w:t>
            </w: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Mis-</w:t>
            </w:r>
          </w:p>
        </w:tc>
        <w:tc>
          <w:tcPr>
            <w:tcW w:w="5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classifications</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As</w:t>
            </w:r>
          </w:p>
        </w:tc>
        <w:tc>
          <w:tcPr>
            <w:tcW w:w="1540" w:type="dxa"/>
            <w:vAlign w:val="bottom"/>
            <w:gridSpan w:val="2"/>
          </w:tcPr>
          <w:p>
            <w:pPr>
              <w:jc w:val="right"/>
              <w:ind w:right="192"/>
              <w:spacing w:after="0" w:line="202" w:lineRule="exact"/>
              <w:rPr>
                <w:sz w:val="20"/>
                <w:szCs w:val="20"/>
                <w:color w:val="auto"/>
              </w:rPr>
            </w:pPr>
            <w:r>
              <w:rPr>
                <w:rFonts w:ascii="Arial" w:cs="Arial" w:eastAsia="Arial" w:hAnsi="Arial"/>
                <w:sz w:val="18"/>
                <w:szCs w:val="18"/>
                <w:b w:val="1"/>
                <w:bCs w:val="1"/>
                <w:color w:val="auto"/>
              </w:rPr>
              <w:t>Redeemable</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and other</w:t>
            </w:r>
          </w:p>
        </w:tc>
        <w:tc>
          <w:tcPr>
            <w:tcW w:w="520" w:type="dxa"/>
            <w:vAlign w:val="bottom"/>
          </w:tcPr>
          <w:p>
            <w:pPr>
              <w:spacing w:after="0"/>
              <w:rPr>
                <w:sz w:val="17"/>
                <w:szCs w:val="17"/>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As</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180" w:type="dxa"/>
            <w:vAlign w:val="bottom"/>
            <w:gridSpan w:val="2"/>
          </w:tcPr>
          <w:p>
            <w:pPr>
              <w:jc w:val="right"/>
              <w:ind w:right="192"/>
              <w:spacing w:after="0" w:line="189" w:lineRule="exact"/>
              <w:rPr>
                <w:sz w:val="20"/>
                <w:szCs w:val="20"/>
                <w:color w:val="auto"/>
              </w:rPr>
            </w:pPr>
            <w:r>
              <w:rPr>
                <w:rFonts w:ascii="Arial" w:cs="Arial" w:eastAsia="Arial" w:hAnsi="Arial"/>
                <w:sz w:val="18"/>
                <w:szCs w:val="18"/>
                <w:b w:val="1"/>
                <w:bCs w:val="1"/>
                <w:color w:val="auto"/>
                <w:w w:val="97"/>
              </w:rPr>
              <w:t>previously</w:t>
            </w:r>
          </w:p>
        </w:tc>
        <w:tc>
          <w:tcPr>
            <w:tcW w:w="360" w:type="dxa"/>
            <w:vAlign w:val="bottom"/>
          </w:tcPr>
          <w:p>
            <w:pPr>
              <w:spacing w:after="0"/>
              <w:rPr>
                <w:sz w:val="16"/>
                <w:szCs w:val="16"/>
                <w:color w:val="auto"/>
              </w:rPr>
            </w:pPr>
          </w:p>
        </w:tc>
        <w:tc>
          <w:tcPr>
            <w:tcW w:w="1180" w:type="dxa"/>
            <w:vAlign w:val="bottom"/>
          </w:tcPr>
          <w:p>
            <w:pPr>
              <w:jc w:val="right"/>
              <w:ind w:right="192"/>
              <w:spacing w:after="0" w:line="189" w:lineRule="exact"/>
              <w:rPr>
                <w:sz w:val="20"/>
                <w:szCs w:val="20"/>
                <w:color w:val="auto"/>
              </w:rPr>
            </w:pPr>
            <w:r>
              <w:rPr>
                <w:rFonts w:ascii="Arial" w:cs="Arial" w:eastAsia="Arial" w:hAnsi="Arial"/>
                <w:sz w:val="18"/>
                <w:szCs w:val="18"/>
                <w:b w:val="1"/>
                <w:bCs w:val="1"/>
                <w:color w:val="auto"/>
              </w:rPr>
              <w:t>Class A</w:t>
            </w:r>
          </w:p>
        </w:tc>
        <w:tc>
          <w:tcPr>
            <w:tcW w:w="320" w:type="dxa"/>
            <w:vAlign w:val="bottom"/>
          </w:tcPr>
          <w:p>
            <w:pPr>
              <w:spacing w:after="0"/>
              <w:rPr>
                <w:sz w:val="16"/>
                <w:szCs w:val="16"/>
                <w:color w:val="auto"/>
              </w:rPr>
            </w:pPr>
          </w:p>
        </w:tc>
        <w:tc>
          <w:tcPr>
            <w:tcW w:w="1380" w:type="dxa"/>
            <w:vAlign w:val="bottom"/>
          </w:tcPr>
          <w:p>
            <w:pPr>
              <w:jc w:val="right"/>
              <w:ind w:right="192"/>
              <w:spacing w:after="0" w:line="189" w:lineRule="exact"/>
              <w:rPr>
                <w:sz w:val="20"/>
                <w:szCs w:val="20"/>
                <w:color w:val="auto"/>
              </w:rPr>
            </w:pPr>
            <w:r>
              <w:rPr>
                <w:rFonts w:ascii="Arial" w:cs="Arial" w:eastAsia="Arial" w:hAnsi="Arial"/>
                <w:sz w:val="18"/>
                <w:szCs w:val="18"/>
                <w:b w:val="1"/>
                <w:bCs w:val="1"/>
                <w:color w:val="auto"/>
                <w:w w:val="96"/>
              </w:rPr>
              <w:t>Equity based</w:t>
            </w:r>
          </w:p>
        </w:tc>
        <w:tc>
          <w:tcPr>
            <w:tcW w:w="4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immaterial</w:t>
            </w:r>
          </w:p>
        </w:tc>
        <w:tc>
          <w:tcPr>
            <w:tcW w:w="5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reported</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units</w:t>
            </w:r>
          </w:p>
        </w:tc>
        <w:tc>
          <w:tcPr>
            <w:tcW w:w="17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compensation</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errors</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7"/>
              </w:rPr>
              <w:t>restated</w:t>
            </w:r>
          </w:p>
        </w:tc>
        <w:tc>
          <w:tcPr>
            <w:tcW w:w="0" w:type="dxa"/>
            <w:vAlign w:val="bottom"/>
          </w:tcPr>
          <w:p>
            <w:pPr>
              <w:spacing w:after="0"/>
              <w:rPr>
                <w:sz w:val="1"/>
                <w:szCs w:val="1"/>
                <w:color w:val="auto"/>
              </w:rPr>
            </w:pPr>
          </w:p>
        </w:tc>
      </w:tr>
      <w:tr>
        <w:trPr>
          <w:trHeight w:val="226"/>
        </w:trPr>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1,301</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22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20,397</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(1,645)</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18,752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106,895</w:t>
            </w:r>
          </w:p>
        </w:tc>
        <w:tc>
          <w:tcPr>
            <w:tcW w:w="36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105,397</w:t>
            </w:r>
          </w:p>
        </w:tc>
        <w:tc>
          <w:tcPr>
            <w:tcW w:w="0" w:type="dxa"/>
            <w:vAlign w:val="bottom"/>
          </w:tcPr>
          <w:p>
            <w:pPr>
              <w:spacing w:after="0"/>
              <w:rPr>
                <w:sz w:val="1"/>
                <w:szCs w:val="1"/>
                <w:color w:val="auto"/>
              </w:rPr>
            </w:pPr>
          </w:p>
        </w:tc>
      </w:tr>
      <w:tr>
        <w:trPr>
          <w:trHeight w:val="74"/>
        </w:trPr>
        <w:tc>
          <w:tcPr>
            <w:tcW w:w="37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3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Liabilities, Redeemable Class A units</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and Members’ (Deficit) Equity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7"/>
                <w:szCs w:val="17"/>
                <w:color w:val="auto"/>
              </w:rPr>
            </w:pP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1,000</w:t>
            </w:r>
          </w:p>
        </w:tc>
        <w:tc>
          <w:tcPr>
            <w:tcW w:w="360" w:type="dxa"/>
            <w:vAlign w:val="bottom"/>
          </w:tcPr>
          <w:p>
            <w:pPr>
              <w:spacing w:after="0"/>
              <w:rPr>
                <w:sz w:val="17"/>
                <w:szCs w:val="17"/>
                <w:color w:val="auto"/>
              </w:rPr>
            </w:pP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5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deferred rent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7"/>
                <w:szCs w:val="17"/>
                <w:color w:val="auto"/>
              </w:rPr>
            </w:pP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96,218</w:t>
            </w:r>
          </w:p>
        </w:tc>
        <w:tc>
          <w:tcPr>
            <w:tcW w:w="360" w:type="dxa"/>
            <w:vAlign w:val="bottom"/>
          </w:tcPr>
          <w:p>
            <w:pPr>
              <w:spacing w:after="0"/>
              <w:rPr>
                <w:sz w:val="17"/>
                <w:szCs w:val="17"/>
                <w:color w:val="auto"/>
              </w:rPr>
            </w:pP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5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96,665</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330</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144,576</w:t>
            </w:r>
          </w:p>
        </w:tc>
        <w:tc>
          <w:tcPr>
            <w:tcW w:w="36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144,896</w:t>
            </w: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Redeemable Class A units, 284,211 at</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redemption value of approximately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$260.71 per unit as of December 31,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74,097</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74,097</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Members’ (deficit) equity</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Class A units, 1,136,842 units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authorized; 852,632 and 1,136,842</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units issued and outstanding</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(excluding 284,211 units and 0 units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subject to possible redemption) as of</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December 31, 2019 and 2018,</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135,809</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2"/>
              <w:spacing w:after="0" w:line="200" w:lineRule="exact"/>
              <w:rPr>
                <w:sz w:val="20"/>
                <w:szCs w:val="20"/>
                <w:color w:val="auto"/>
              </w:rPr>
            </w:pPr>
            <w:r>
              <w:rPr>
                <w:rFonts w:ascii="Arial" w:cs="Arial" w:eastAsia="Arial" w:hAnsi="Arial"/>
                <w:sz w:val="18"/>
                <w:szCs w:val="18"/>
                <w:color w:val="auto"/>
              </w:rPr>
              <w:t>(62,806)</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73,003</w:t>
            </w:r>
          </w:p>
        </w:tc>
        <w:tc>
          <w:tcPr>
            <w:tcW w:w="0" w:type="dxa"/>
            <w:vAlign w:val="bottom"/>
          </w:tcPr>
          <w:p>
            <w:pPr>
              <w:spacing w:after="0"/>
              <w:rPr>
                <w:sz w:val="1"/>
                <w:szCs w:val="1"/>
                <w:color w:val="auto"/>
              </w:rPr>
            </w:pPr>
          </w:p>
        </w:tc>
      </w:tr>
      <w:tr>
        <w:trPr>
          <w:trHeight w:val="206"/>
        </w:trPr>
        <w:tc>
          <w:tcPr>
            <w:tcW w:w="3740" w:type="dxa"/>
            <w:vAlign w:val="bottom"/>
          </w:tcPr>
          <w:p>
            <w:pPr>
              <w:ind w:left="220"/>
              <w:spacing w:after="0" w:line="206" w:lineRule="exact"/>
              <w:rPr>
                <w:sz w:val="20"/>
                <w:szCs w:val="20"/>
                <w:color w:val="auto"/>
              </w:rPr>
            </w:pPr>
            <w:r>
              <w:rPr>
                <w:rFonts w:ascii="Arial" w:cs="Arial" w:eastAsia="Arial" w:hAnsi="Arial"/>
                <w:sz w:val="18"/>
                <w:szCs w:val="18"/>
                <w:color w:val="auto"/>
              </w:rPr>
              <w:t>Class B units, 169,943 units authorized;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420"/>
              <w:spacing w:after="0" w:line="202" w:lineRule="exact"/>
              <w:rPr>
                <w:sz w:val="20"/>
                <w:szCs w:val="20"/>
                <w:color w:val="auto"/>
              </w:rPr>
            </w:pPr>
            <w:r>
              <w:rPr>
                <w:rFonts w:ascii="Arial" w:cs="Arial" w:eastAsia="Arial" w:hAnsi="Arial"/>
                <w:sz w:val="18"/>
                <w:szCs w:val="18"/>
                <w:color w:val="auto"/>
              </w:rPr>
              <w:t>163,800 and 98,090 issued and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420"/>
              <w:spacing w:after="0" w:line="202" w:lineRule="exact"/>
              <w:rPr>
                <w:sz w:val="20"/>
                <w:szCs w:val="20"/>
                <w:color w:val="auto"/>
              </w:rPr>
            </w:pPr>
            <w:r>
              <w:rPr>
                <w:rFonts w:ascii="Arial" w:cs="Arial" w:eastAsia="Arial" w:hAnsi="Arial"/>
                <w:sz w:val="18"/>
                <w:szCs w:val="18"/>
                <w:color w:val="auto"/>
              </w:rPr>
              <w:t>outstanding as of December 31, 2019</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tcPr>
          <w:p>
            <w:pPr>
              <w:ind w:left="420"/>
              <w:spacing w:after="0" w:line="200" w:lineRule="exact"/>
              <w:rPr>
                <w:sz w:val="20"/>
                <w:szCs w:val="20"/>
                <w:color w:val="auto"/>
              </w:rPr>
            </w:pPr>
            <w:r>
              <w:rPr>
                <w:rFonts w:ascii="Arial" w:cs="Arial" w:eastAsia="Arial" w:hAnsi="Arial"/>
                <w:sz w:val="18"/>
                <w:szCs w:val="18"/>
                <w:color w:val="auto"/>
              </w:rPr>
              <w:t>and 2018, respectively</w:t>
            </w:r>
          </w:p>
        </w:tc>
        <w:tc>
          <w:tcPr>
            <w:tcW w:w="140" w:type="dxa"/>
            <w:vAlign w:val="bottom"/>
          </w:tcPr>
          <w:p>
            <w:pPr>
              <w:spacing w:after="0"/>
              <w:rPr>
                <w:sz w:val="17"/>
                <w:szCs w:val="17"/>
                <w:color w:val="auto"/>
              </w:rPr>
            </w:pPr>
          </w:p>
        </w:tc>
        <w:tc>
          <w:tcPr>
            <w:tcW w:w="104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14,901</w:t>
            </w:r>
          </w:p>
        </w:tc>
        <w:tc>
          <w:tcPr>
            <w:tcW w:w="360" w:type="dxa"/>
            <w:vAlign w:val="bottom"/>
          </w:tcPr>
          <w:p>
            <w:pPr>
              <w:spacing w:after="0"/>
              <w:rPr>
                <w:sz w:val="17"/>
                <w:szCs w:val="17"/>
                <w:color w:val="auto"/>
              </w:rPr>
            </w:pPr>
          </w:p>
        </w:tc>
        <w:tc>
          <w:tcPr>
            <w:tcW w:w="118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8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(8,358)</w:t>
            </w:r>
          </w:p>
        </w:tc>
        <w:tc>
          <w:tcPr>
            <w:tcW w:w="440" w:type="dxa"/>
            <w:vAlign w:val="bottom"/>
          </w:tcPr>
          <w:p>
            <w:pPr>
              <w:spacing w:after="0"/>
              <w:rPr>
                <w:sz w:val="17"/>
                <w:szCs w:val="17"/>
                <w:color w:val="auto"/>
              </w:rPr>
            </w:pP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1</w:t>
            </w:r>
          </w:p>
        </w:tc>
        <w:tc>
          <w:tcPr>
            <w:tcW w:w="520" w:type="dxa"/>
            <w:vAlign w:val="bottom"/>
          </w:tcPr>
          <w:p>
            <w:pPr>
              <w:spacing w:after="0"/>
              <w:rPr>
                <w:sz w:val="17"/>
                <w:szCs w:val="17"/>
                <w:color w:val="auto"/>
              </w:rPr>
            </w:pPr>
          </w:p>
        </w:tc>
        <w:tc>
          <w:tcPr>
            <w:tcW w:w="8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(188,391)</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(11,291)</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8,358</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(1,819)</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(193,143)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Total members’ (deficit) equity</w:t>
            </w:r>
          </w:p>
        </w:tc>
        <w:tc>
          <w:tcPr>
            <w:tcW w:w="14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(37,681)</w:t>
            </w:r>
          </w:p>
        </w:tc>
        <w:tc>
          <w:tcPr>
            <w:tcW w:w="36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(74,097)</w:t>
            </w:r>
          </w:p>
        </w:tc>
        <w:tc>
          <w:tcPr>
            <w:tcW w:w="320" w:type="dxa"/>
            <w:vAlign w:val="bottom"/>
          </w:tcPr>
          <w:p>
            <w:pPr>
              <w:spacing w:after="0"/>
              <w:rPr>
                <w:sz w:val="18"/>
                <w:szCs w:val="18"/>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(1,818)</w:t>
            </w:r>
          </w:p>
        </w:tc>
        <w:tc>
          <w:tcPr>
            <w:tcW w:w="5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(113,596)</w:t>
            </w: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Total liabilities, redeemable Class A</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units and members’ (deficit) equity</w:t>
            </w: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106,895</w:t>
            </w:r>
          </w:p>
        </w:tc>
        <w:tc>
          <w:tcPr>
            <w:tcW w:w="3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(1,498)</w:t>
            </w:r>
          </w:p>
        </w:tc>
        <w:tc>
          <w:tcPr>
            <w:tcW w:w="5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105,397</w:t>
            </w:r>
          </w:p>
        </w:tc>
        <w:tc>
          <w:tcPr>
            <w:tcW w:w="0" w:type="dxa"/>
            <w:vAlign w:val="bottom"/>
          </w:tcPr>
          <w:p>
            <w:pPr>
              <w:spacing w:after="0"/>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692"/>
              <w:spacing w:after="0"/>
              <w:rPr>
                <w:sz w:val="20"/>
                <w:szCs w:val="20"/>
                <w:color w:val="auto"/>
              </w:rPr>
            </w:pPr>
            <w:r>
              <w:rPr>
                <w:rFonts w:ascii="Arial" w:cs="Arial" w:eastAsia="Arial" w:hAnsi="Arial"/>
                <w:sz w:val="18"/>
                <w:szCs w:val="18"/>
                <w:color w:val="auto"/>
              </w:rPr>
              <w:t>F-23</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As of December 31, 2018</w:t>
            </w:r>
          </w:p>
        </w:tc>
      </w:tr>
      <w:tr>
        <w:trPr>
          <w:trHeight w:val="177"/>
        </w:trPr>
        <w:tc>
          <w:tcPr>
            <w:tcW w:w="5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92"/>
              <w:spacing w:after="0" w:line="177" w:lineRule="exact"/>
              <w:rPr>
                <w:sz w:val="20"/>
                <w:szCs w:val="20"/>
                <w:color w:val="auto"/>
              </w:rPr>
            </w:pPr>
            <w:r>
              <w:rPr>
                <w:rFonts w:ascii="Arial" w:cs="Arial" w:eastAsia="Arial" w:hAnsi="Arial"/>
                <w:sz w:val="18"/>
                <w:szCs w:val="18"/>
                <w:b w:val="1"/>
                <w:bCs w:val="1"/>
                <w:color w:val="auto"/>
              </w:rPr>
              <w:t>As</w:t>
            </w:r>
          </w:p>
        </w:tc>
        <w:tc>
          <w:tcPr>
            <w:tcW w:w="3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rPr>
              <w:t>Mis-classifications</w:t>
            </w: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080" w:type="dxa"/>
            <w:vAlign w:val="bottom"/>
          </w:tcPr>
          <w:p>
            <w:pPr>
              <w:spacing w:after="0"/>
              <w:rPr>
                <w:sz w:val="17"/>
                <w:szCs w:val="17"/>
                <w:color w:val="auto"/>
              </w:rPr>
            </w:pPr>
          </w:p>
        </w:tc>
        <w:tc>
          <w:tcPr>
            <w:tcW w:w="1160" w:type="dxa"/>
            <w:vAlign w:val="bottom"/>
            <w:gridSpan w:val="2"/>
          </w:tcPr>
          <w:p>
            <w:pPr>
              <w:jc w:val="right"/>
              <w:ind w:right="192"/>
              <w:spacing w:after="0" w:line="202" w:lineRule="exact"/>
              <w:rPr>
                <w:sz w:val="20"/>
                <w:szCs w:val="20"/>
                <w:color w:val="auto"/>
              </w:rPr>
            </w:pPr>
            <w:r>
              <w:rPr>
                <w:rFonts w:ascii="Arial" w:cs="Arial" w:eastAsia="Arial" w:hAnsi="Arial"/>
                <w:sz w:val="18"/>
                <w:szCs w:val="18"/>
                <w:b w:val="1"/>
                <w:bCs w:val="1"/>
                <w:color w:val="auto"/>
                <w:w w:val="95"/>
              </w:rPr>
              <w:t>previously</w:t>
            </w:r>
          </w:p>
        </w:tc>
        <w:tc>
          <w:tcPr>
            <w:tcW w:w="320" w:type="dxa"/>
            <w:vAlign w:val="bottom"/>
          </w:tcPr>
          <w:p>
            <w:pPr>
              <w:spacing w:after="0"/>
              <w:rPr>
                <w:sz w:val="17"/>
                <w:szCs w:val="17"/>
                <w:color w:val="auto"/>
              </w:rPr>
            </w:pP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w w:val="96"/>
              </w:rPr>
              <w:t>Equity based</w:t>
            </w:r>
          </w:p>
        </w:tc>
        <w:tc>
          <w:tcPr>
            <w:tcW w:w="340" w:type="dxa"/>
            <w:vAlign w:val="bottom"/>
          </w:tcPr>
          <w:p>
            <w:pPr>
              <w:spacing w:after="0"/>
              <w:rPr>
                <w:sz w:val="17"/>
                <w:szCs w:val="17"/>
                <w:color w:val="auto"/>
              </w:rPr>
            </w:pPr>
          </w:p>
        </w:tc>
        <w:tc>
          <w:tcPr>
            <w:tcW w:w="172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As</w:t>
            </w:r>
          </w:p>
        </w:tc>
      </w:tr>
      <w:tr>
        <w:trPr>
          <w:trHeight w:val="221"/>
        </w:trPr>
        <w:tc>
          <w:tcPr>
            <w:tcW w:w="5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8"/>
              </w:rPr>
              <w:t>reported</w:t>
            </w:r>
          </w:p>
        </w:tc>
        <w:tc>
          <w:tcPr>
            <w:tcW w:w="16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compensation</w:t>
            </w: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6"/>
              </w:rPr>
              <w:t>immaterial errors</w:t>
            </w: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restated</w:t>
            </w:r>
          </w:p>
        </w:tc>
      </w:tr>
      <w:tr>
        <w:trPr>
          <w:trHeight w:val="226"/>
        </w:trPr>
        <w:tc>
          <w:tcPr>
            <w:tcW w:w="5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 thousands)</w:t>
            </w:r>
          </w:p>
        </w:tc>
      </w:tr>
      <w:tr>
        <w:trPr>
          <w:trHeight w:val="37"/>
        </w:trPr>
        <w:tc>
          <w:tcPr>
            <w:tcW w:w="5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1,287</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1,286</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25,108</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(1,123)</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23,985</w:t>
            </w:r>
          </w:p>
        </w:tc>
      </w:tr>
      <w:tr>
        <w:trPr>
          <w:trHeight w:val="20"/>
        </w:trPr>
        <w:tc>
          <w:tcPr>
            <w:tcW w:w="5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0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88,489</w:t>
            </w:r>
          </w:p>
        </w:tc>
        <w:tc>
          <w:tcPr>
            <w:tcW w:w="320" w:type="dxa"/>
            <w:vAlign w:val="bottom"/>
          </w:tcPr>
          <w:p>
            <w:pPr>
              <w:spacing w:after="0"/>
              <w:rPr>
                <w:sz w:val="18"/>
                <w:szCs w:val="18"/>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(1,123)</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87,366</w:t>
            </w:r>
          </w:p>
        </w:tc>
      </w:tr>
      <w:tr>
        <w:trPr>
          <w:trHeight w:val="184"/>
        </w:trPr>
        <w:tc>
          <w:tcPr>
            <w:tcW w:w="50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b w:val="1"/>
                <w:bCs w:val="1"/>
                <w:color w:val="auto"/>
              </w:rPr>
              <w:t>Liabilities, Redeemable Class A units and Members’</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50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(Deficit) Equity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3"/>
        </w:trPr>
        <w:tc>
          <w:tcPr>
            <w:tcW w:w="5080" w:type="dxa"/>
            <w:vAlign w:val="bottom"/>
          </w:tcPr>
          <w:p>
            <w:pPr>
              <w:ind w:left="220"/>
              <w:spacing w:after="0" w:line="202" w:lineRule="exact"/>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7"/>
                <w:szCs w:val="17"/>
                <w:color w:val="auto"/>
              </w:rPr>
            </w:pPr>
          </w:p>
        </w:tc>
        <w:tc>
          <w:tcPr>
            <w:tcW w:w="10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3,067</w:t>
            </w:r>
          </w:p>
        </w:tc>
        <w:tc>
          <w:tcPr>
            <w:tcW w:w="320" w:type="dxa"/>
            <w:vAlign w:val="bottom"/>
          </w:tcPr>
          <w:p>
            <w:pPr>
              <w:spacing w:after="0"/>
              <w:rPr>
                <w:sz w:val="17"/>
                <w:szCs w:val="17"/>
                <w:color w:val="auto"/>
              </w:rPr>
            </w:pP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7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(1,879)</w:t>
            </w:r>
          </w:p>
        </w:tc>
        <w:tc>
          <w:tcPr>
            <w:tcW w:w="32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1,188</w:t>
            </w:r>
          </w:p>
        </w:tc>
      </w:tr>
      <w:tr>
        <w:trPr>
          <w:trHeight w:val="203"/>
        </w:trPr>
        <w:tc>
          <w:tcPr>
            <w:tcW w:w="5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Current portion of deferred rent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w:t>
            </w:r>
          </w:p>
        </w:tc>
      </w:tr>
      <w:tr>
        <w:trPr>
          <w:trHeight w:val="202"/>
        </w:trPr>
        <w:tc>
          <w:tcPr>
            <w:tcW w:w="5080" w:type="dxa"/>
            <w:vAlign w:val="bottom"/>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7"/>
                <w:szCs w:val="17"/>
                <w:color w:val="auto"/>
              </w:rPr>
            </w:pPr>
          </w:p>
        </w:tc>
        <w:tc>
          <w:tcPr>
            <w:tcW w:w="10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11,183</w:t>
            </w:r>
          </w:p>
        </w:tc>
        <w:tc>
          <w:tcPr>
            <w:tcW w:w="320" w:type="dxa"/>
            <w:vAlign w:val="bottom"/>
          </w:tcPr>
          <w:p>
            <w:pPr>
              <w:spacing w:after="0"/>
              <w:rPr>
                <w:sz w:val="17"/>
                <w:szCs w:val="17"/>
                <w:color w:val="auto"/>
              </w:rPr>
            </w:pP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7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1,878</w:t>
            </w:r>
          </w:p>
        </w:tc>
        <w:tc>
          <w:tcPr>
            <w:tcW w:w="32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13,061</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369</w:t>
            </w:r>
          </w:p>
        </w:tc>
      </w:tr>
      <w:tr>
        <w:trPr>
          <w:trHeight w:val="20"/>
        </w:trPr>
        <w:tc>
          <w:tcPr>
            <w:tcW w:w="5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46,886</w:t>
            </w:r>
          </w:p>
        </w:tc>
        <w:tc>
          <w:tcPr>
            <w:tcW w:w="320" w:type="dxa"/>
            <w:vAlign w:val="bottom"/>
          </w:tcPr>
          <w:p>
            <w:pPr>
              <w:spacing w:after="0"/>
              <w:rPr>
                <w:sz w:val="18"/>
                <w:szCs w:val="18"/>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46,886</w:t>
            </w:r>
          </w:p>
        </w:tc>
      </w:tr>
      <w:tr>
        <w:trPr>
          <w:trHeight w:val="74"/>
        </w:trPr>
        <w:tc>
          <w:tcPr>
            <w:tcW w:w="50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3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7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Members’ (deficit) equity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5080" w:type="dxa"/>
            <w:vAlign w:val="bottom"/>
          </w:tcPr>
          <w:p>
            <w:pPr>
              <w:ind w:left="220"/>
              <w:spacing w:after="0" w:line="206" w:lineRule="exact"/>
              <w:rPr>
                <w:sz w:val="20"/>
                <w:szCs w:val="20"/>
                <w:color w:val="auto"/>
              </w:rPr>
            </w:pPr>
            <w:r>
              <w:rPr>
                <w:rFonts w:ascii="Arial" w:cs="Arial" w:eastAsia="Arial" w:hAnsi="Arial"/>
                <w:sz w:val="18"/>
                <w:szCs w:val="18"/>
                <w:color w:val="auto"/>
              </w:rPr>
              <w:t>Class B units, 169,943 units authorized; 163,800 and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420"/>
              <w:spacing w:after="0" w:line="202" w:lineRule="exact"/>
              <w:rPr>
                <w:sz w:val="20"/>
                <w:szCs w:val="20"/>
                <w:color w:val="auto"/>
              </w:rPr>
            </w:pPr>
            <w:r>
              <w:rPr>
                <w:rFonts w:ascii="Arial" w:cs="Arial" w:eastAsia="Arial" w:hAnsi="Arial"/>
                <w:sz w:val="18"/>
                <w:szCs w:val="18"/>
                <w:color w:val="auto"/>
              </w:rPr>
              <w:t>98,090 issued and outstanding as of December 31,</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5080" w:type="dxa"/>
            <w:vAlign w:val="bottom"/>
          </w:tcPr>
          <w:p>
            <w:pPr>
              <w:ind w:left="420"/>
              <w:spacing w:after="0" w:line="200" w:lineRule="exact"/>
              <w:rPr>
                <w:sz w:val="20"/>
                <w:szCs w:val="20"/>
                <w:color w:val="auto"/>
              </w:rPr>
            </w:pPr>
            <w:r>
              <w:rPr>
                <w:rFonts w:ascii="Arial" w:cs="Arial" w:eastAsia="Arial" w:hAnsi="Arial"/>
                <w:sz w:val="18"/>
                <w:szCs w:val="18"/>
                <w:color w:val="auto"/>
              </w:rPr>
              <w:t>2019 and 2018, respectively</w:t>
            </w:r>
          </w:p>
        </w:tc>
        <w:tc>
          <w:tcPr>
            <w:tcW w:w="140" w:type="dxa"/>
            <w:vAlign w:val="bottom"/>
          </w:tcPr>
          <w:p>
            <w:pPr>
              <w:spacing w:after="0"/>
              <w:rPr>
                <w:sz w:val="17"/>
                <w:szCs w:val="17"/>
                <w:color w:val="auto"/>
              </w:rPr>
            </w:pPr>
          </w:p>
        </w:tc>
        <w:tc>
          <w:tcPr>
            <w:tcW w:w="102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11,718</w:t>
            </w:r>
          </w:p>
        </w:tc>
        <w:tc>
          <w:tcPr>
            <w:tcW w:w="320" w:type="dxa"/>
            <w:vAlign w:val="bottom"/>
          </w:tcPr>
          <w:p>
            <w:pPr>
              <w:spacing w:after="0"/>
              <w:rPr>
                <w:sz w:val="17"/>
                <w:szCs w:val="17"/>
                <w:color w:val="auto"/>
              </w:rPr>
            </w:pPr>
          </w:p>
        </w:tc>
        <w:tc>
          <w:tcPr>
            <w:tcW w:w="136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(8,768)</w:t>
            </w:r>
          </w:p>
        </w:tc>
        <w:tc>
          <w:tcPr>
            <w:tcW w:w="340" w:type="dxa"/>
            <w:vAlign w:val="bottom"/>
          </w:tcPr>
          <w:p>
            <w:pPr>
              <w:spacing w:after="0"/>
              <w:rPr>
                <w:sz w:val="17"/>
                <w:szCs w:val="17"/>
                <w:color w:val="auto"/>
              </w:rPr>
            </w:pPr>
          </w:p>
        </w:tc>
        <w:tc>
          <w:tcPr>
            <w:tcW w:w="172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2,950</w:t>
            </w:r>
          </w:p>
        </w:tc>
      </w:tr>
      <w:tr>
        <w:trPr>
          <w:trHeight w:val="203"/>
        </w:trPr>
        <w:tc>
          <w:tcPr>
            <w:tcW w:w="5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(43,118)</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8,768</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(1,123)</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(35,473)</w:t>
            </w:r>
          </w:p>
        </w:tc>
      </w:tr>
      <w:tr>
        <w:trPr>
          <w:trHeight w:val="20"/>
        </w:trPr>
        <w:tc>
          <w:tcPr>
            <w:tcW w:w="5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080" w:type="dxa"/>
            <w:vAlign w:val="bottom"/>
          </w:tcPr>
          <w:p>
            <w:pPr>
              <w:ind w:left="220"/>
              <w:spacing w:after="0"/>
              <w:rPr>
                <w:sz w:val="20"/>
                <w:szCs w:val="20"/>
                <w:color w:val="auto"/>
              </w:rPr>
            </w:pPr>
            <w:r>
              <w:rPr>
                <w:rFonts w:ascii="Arial" w:cs="Arial" w:eastAsia="Arial" w:hAnsi="Arial"/>
                <w:sz w:val="18"/>
                <w:szCs w:val="18"/>
                <w:color w:val="auto"/>
              </w:rPr>
              <w:t>Total members’ (deficit) equity</w:t>
            </w:r>
          </w:p>
        </w:tc>
        <w:tc>
          <w:tcPr>
            <w:tcW w:w="14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41,603</w:t>
            </w:r>
          </w:p>
        </w:tc>
        <w:tc>
          <w:tcPr>
            <w:tcW w:w="320" w:type="dxa"/>
            <w:vAlign w:val="bottom"/>
          </w:tcPr>
          <w:p>
            <w:pPr>
              <w:spacing w:after="0"/>
              <w:rPr>
                <w:sz w:val="18"/>
                <w:szCs w:val="18"/>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(1,123)</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40,480</w:t>
            </w:r>
          </w:p>
        </w:tc>
      </w:tr>
      <w:tr>
        <w:trPr>
          <w:trHeight w:val="206"/>
        </w:trPr>
        <w:tc>
          <w:tcPr>
            <w:tcW w:w="50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Total liabilities, redeemable Class A units and members’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50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(deficit)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88,489</w:t>
            </w:r>
          </w:p>
        </w:tc>
        <w:tc>
          <w:tcPr>
            <w:tcW w:w="3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2"/>
              <w:spacing w:after="0" w:line="200" w:lineRule="exact"/>
              <w:rPr>
                <w:sz w:val="20"/>
                <w:szCs w:val="20"/>
                <w:color w:val="auto"/>
              </w:rPr>
            </w:pPr>
            <w:r>
              <w:rPr>
                <w:rFonts w:ascii="Arial" w:cs="Arial" w:eastAsia="Arial" w:hAnsi="Arial"/>
                <w:sz w:val="18"/>
                <w:szCs w:val="18"/>
                <w:color w:val="auto"/>
              </w:rPr>
              <w:t>(1,123)</w:t>
            </w:r>
          </w:p>
        </w:tc>
        <w:tc>
          <w:tcPr>
            <w:tcW w:w="3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87,366</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72"/>
              <w:spacing w:after="0"/>
              <w:rPr>
                <w:sz w:val="20"/>
                <w:szCs w:val="20"/>
                <w:color w:val="auto"/>
              </w:rPr>
            </w:pPr>
            <w:r>
              <w:rPr>
                <w:rFonts w:ascii="Arial" w:cs="Arial" w:eastAsia="Arial" w:hAnsi="Arial"/>
                <w:sz w:val="18"/>
                <w:szCs w:val="18"/>
                <w:color w:val="auto"/>
              </w:rPr>
              <w:t>F-24</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Year ended December 31, 2019</w:t>
            </w:r>
          </w:p>
        </w:tc>
      </w:tr>
      <w:tr>
        <w:trPr>
          <w:trHeight w:val="177"/>
        </w:trPr>
        <w:tc>
          <w:tcPr>
            <w:tcW w:w="5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As</w:t>
            </w:r>
          </w:p>
        </w:tc>
        <w:tc>
          <w:tcPr>
            <w:tcW w:w="3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rPr>
              <w:t>Mis-classifications</w:t>
            </w:r>
          </w:p>
        </w:tc>
        <w:tc>
          <w:tcPr>
            <w:tcW w:w="3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100" w:type="dxa"/>
            <w:vAlign w:val="bottom"/>
          </w:tcPr>
          <w:p>
            <w:pPr>
              <w:spacing w:after="0"/>
              <w:rPr>
                <w:sz w:val="17"/>
                <w:szCs w:val="17"/>
                <w:color w:val="auto"/>
              </w:rPr>
            </w:pPr>
          </w:p>
        </w:tc>
        <w:tc>
          <w:tcPr>
            <w:tcW w:w="112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auto"/>
                <w:w w:val="97"/>
              </w:rPr>
              <w:t>previously</w:t>
            </w:r>
          </w:p>
        </w:tc>
        <w:tc>
          <w:tcPr>
            <w:tcW w:w="320" w:type="dxa"/>
            <w:vAlign w:val="bottom"/>
          </w:tcPr>
          <w:p>
            <w:pPr>
              <w:spacing w:after="0"/>
              <w:rPr>
                <w:sz w:val="17"/>
                <w:szCs w:val="17"/>
                <w:color w:val="auto"/>
              </w:rPr>
            </w:pP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w w:val="96"/>
              </w:rPr>
              <w:t>Equity based</w:t>
            </w:r>
          </w:p>
        </w:tc>
        <w:tc>
          <w:tcPr>
            <w:tcW w:w="340" w:type="dxa"/>
            <w:vAlign w:val="bottom"/>
          </w:tcPr>
          <w:p>
            <w:pPr>
              <w:spacing w:after="0"/>
              <w:rPr>
                <w:sz w:val="17"/>
                <w:szCs w:val="17"/>
                <w:color w:val="auto"/>
              </w:rPr>
            </w:pPr>
          </w:p>
        </w:tc>
        <w:tc>
          <w:tcPr>
            <w:tcW w:w="172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and other</w:t>
            </w:r>
          </w:p>
        </w:tc>
        <w:tc>
          <w:tcPr>
            <w:tcW w:w="3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As</w:t>
            </w:r>
          </w:p>
        </w:tc>
      </w:tr>
      <w:tr>
        <w:trPr>
          <w:trHeight w:val="221"/>
        </w:trPr>
        <w:tc>
          <w:tcPr>
            <w:tcW w:w="5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reported</w:t>
            </w:r>
          </w:p>
        </w:tc>
        <w:tc>
          <w:tcPr>
            <w:tcW w:w="17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compensation</w:t>
            </w: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6"/>
              </w:rPr>
              <w:t>immaterial errors</w:t>
            </w: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restated</w:t>
            </w:r>
          </w:p>
        </w:tc>
      </w:tr>
      <w:tr>
        <w:trPr>
          <w:trHeight w:val="196"/>
        </w:trPr>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407,902</w:t>
            </w:r>
          </w:p>
        </w:tc>
        <w:tc>
          <w:tcPr>
            <w:tcW w:w="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408,005</w:t>
            </w:r>
          </w:p>
        </w:tc>
      </w:tr>
      <w:tr>
        <w:trPr>
          <w:trHeight w:val="277"/>
        </w:trPr>
        <w:tc>
          <w:tcPr>
            <w:tcW w:w="5100" w:type="dxa"/>
            <w:vAlign w:val="bottom"/>
          </w:tcPr>
          <w:p>
            <w:pPr>
              <w:spacing w:after="0"/>
              <w:rPr>
                <w:sz w:val="20"/>
                <w:szCs w:val="20"/>
                <w:color w:val="auto"/>
              </w:rPr>
            </w:pPr>
            <w:r>
              <w:rPr>
                <w:rFonts w:ascii="Arial" w:cs="Arial" w:eastAsia="Arial" w:hAnsi="Arial"/>
                <w:sz w:val="18"/>
                <w:szCs w:val="18"/>
                <w:b w:val="1"/>
                <w:bCs w:val="1"/>
                <w:color w:val="auto"/>
              </w:rPr>
              <w:t>Cost and operating expenses</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339,941</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3,005</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342,909</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7"/>
                <w:szCs w:val="17"/>
                <w:color w:val="auto"/>
              </w:rPr>
            </w:pPr>
          </w:p>
        </w:tc>
        <w:tc>
          <w:tcPr>
            <w:tcW w:w="9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(244)</w:t>
            </w:r>
          </w:p>
        </w:tc>
        <w:tc>
          <w:tcPr>
            <w:tcW w:w="340" w:type="dxa"/>
            <w:vAlign w:val="bottom"/>
          </w:tcPr>
          <w:p>
            <w:pPr>
              <w:spacing w:after="0"/>
              <w:rPr>
                <w:sz w:val="17"/>
                <w:szCs w:val="17"/>
                <w:color w:val="auto"/>
              </w:rPr>
            </w:pPr>
          </w:p>
        </w:tc>
        <w:tc>
          <w:tcPr>
            <w:tcW w:w="17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14,066</w:t>
            </w:r>
          </w:p>
        </w:tc>
        <w:tc>
          <w:tcPr>
            <w:tcW w:w="3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13,822</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7,030</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7,042</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9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679</w:t>
            </w:r>
          </w:p>
        </w:tc>
        <w:tc>
          <w:tcPr>
            <w:tcW w:w="340" w:type="dxa"/>
            <w:vAlign w:val="bottom"/>
          </w:tcPr>
          <w:p>
            <w:pPr>
              <w:spacing w:after="0"/>
              <w:rPr>
                <w:sz w:val="17"/>
                <w:szCs w:val="17"/>
                <w:color w:val="auto"/>
              </w:rPr>
            </w:pPr>
          </w:p>
        </w:tc>
        <w:tc>
          <w:tcPr>
            <w:tcW w:w="17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18,712</w:t>
            </w:r>
          </w:p>
        </w:tc>
        <w:tc>
          <w:tcPr>
            <w:tcW w:w="3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19,391</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13,560</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(13,560)</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Payroll and benefits expense</w:t>
            </w:r>
          </w:p>
        </w:tc>
        <w:tc>
          <w:tcPr>
            <w:tcW w:w="140" w:type="dxa"/>
            <w:vAlign w:val="bottom"/>
          </w:tcPr>
          <w:p>
            <w:pPr>
              <w:spacing w:after="0"/>
              <w:rPr>
                <w:sz w:val="17"/>
                <w:szCs w:val="17"/>
                <w:color w:val="auto"/>
              </w:rPr>
            </w:pPr>
          </w:p>
        </w:tc>
        <w:tc>
          <w:tcPr>
            <w:tcW w:w="9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23,816</w:t>
            </w:r>
          </w:p>
        </w:tc>
        <w:tc>
          <w:tcPr>
            <w:tcW w:w="320" w:type="dxa"/>
            <w:vAlign w:val="bottom"/>
          </w:tcPr>
          <w:p>
            <w:pPr>
              <w:spacing w:after="0"/>
              <w:rPr>
                <w:sz w:val="17"/>
                <w:szCs w:val="17"/>
                <w:color w:val="auto"/>
              </w:rPr>
            </w:pP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7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(23,816)</w:t>
            </w:r>
          </w:p>
        </w:tc>
        <w:tc>
          <w:tcPr>
            <w:tcW w:w="3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4,859</w:t>
            </w: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(4,859)</w:t>
            </w: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7"/>
        </w:trPr>
        <w:tc>
          <w:tcPr>
            <w:tcW w:w="5100" w:type="dxa"/>
            <w:vAlign w:val="bottom"/>
          </w:tcPr>
          <w:p>
            <w:pPr>
              <w:ind w:left="220"/>
              <w:spacing w:after="0"/>
              <w:rPr>
                <w:sz w:val="20"/>
                <w:szCs w:val="20"/>
                <w:color w:val="auto"/>
              </w:rPr>
            </w:pPr>
            <w:r>
              <w:rPr>
                <w:rFonts w:ascii="Arial" w:cs="Arial" w:eastAsia="Arial" w:hAnsi="Arial"/>
                <w:sz w:val="18"/>
                <w:szCs w:val="18"/>
                <w:color w:val="auto"/>
              </w:rPr>
              <w:t>Total cost and operating expenses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382,176</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410</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578</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383,164</w:t>
            </w:r>
          </w:p>
        </w:tc>
        <w:tc>
          <w:tcPr>
            <w:tcW w:w="60" w:type="dxa"/>
            <w:vAlign w:val="bottom"/>
          </w:tcPr>
          <w:p>
            <w:pPr>
              <w:spacing w:after="0"/>
              <w:rPr>
                <w:sz w:val="18"/>
                <w:szCs w:val="18"/>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25,726</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(410)</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(475)</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24,841</w:t>
            </w:r>
          </w:p>
        </w:tc>
      </w:tr>
      <w:tr>
        <w:trPr>
          <w:trHeight w:val="209"/>
        </w:trPr>
        <w:tc>
          <w:tcPr>
            <w:tcW w:w="51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6,800</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221</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7,021</w:t>
            </w:r>
          </w:p>
        </w:tc>
        <w:tc>
          <w:tcPr>
            <w:tcW w:w="60" w:type="dxa"/>
            <w:vAlign w:val="bottom"/>
          </w:tcPr>
          <w:p>
            <w:pPr>
              <w:spacing w:after="0"/>
              <w:rPr>
                <w:sz w:val="18"/>
                <w:szCs w:val="18"/>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18,926</w:t>
            </w:r>
          </w:p>
        </w:tc>
        <w:tc>
          <w:tcPr>
            <w:tcW w:w="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(410)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(696)</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17,820</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color w:val="auto"/>
              </w:rPr>
              <w:t>F-25</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9"/>
              </w:rPr>
              <w:t>Year ended December 31, 2018</w:t>
            </w:r>
          </w:p>
        </w:tc>
      </w:tr>
      <w:tr>
        <w:trPr>
          <w:trHeight w:val="177"/>
        </w:trPr>
        <w:tc>
          <w:tcPr>
            <w:tcW w:w="5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12"/>
              <w:spacing w:after="0" w:line="177" w:lineRule="exact"/>
              <w:rPr>
                <w:sz w:val="20"/>
                <w:szCs w:val="20"/>
                <w:color w:val="auto"/>
              </w:rPr>
            </w:pPr>
            <w:r>
              <w:rPr>
                <w:rFonts w:ascii="Arial" w:cs="Arial" w:eastAsia="Arial" w:hAnsi="Arial"/>
                <w:sz w:val="18"/>
                <w:szCs w:val="18"/>
                <w:b w:val="1"/>
                <w:bCs w:val="1"/>
                <w:color w:val="auto"/>
              </w:rPr>
              <w:t>As</w:t>
            </w:r>
          </w:p>
        </w:tc>
        <w:tc>
          <w:tcPr>
            <w:tcW w:w="3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2"/>
          </w:tcPr>
          <w:p>
            <w:pPr>
              <w:jc w:val="right"/>
              <w:ind w:right="172"/>
              <w:spacing w:after="0" w:line="177" w:lineRule="exact"/>
              <w:rPr>
                <w:sz w:val="20"/>
                <w:szCs w:val="20"/>
                <w:color w:val="auto"/>
              </w:rPr>
            </w:pPr>
            <w:r>
              <w:rPr>
                <w:rFonts w:ascii="Arial" w:cs="Arial" w:eastAsia="Arial" w:hAnsi="Arial"/>
                <w:sz w:val="18"/>
                <w:szCs w:val="18"/>
                <w:b w:val="1"/>
                <w:bCs w:val="1"/>
                <w:color w:val="auto"/>
              </w:rPr>
              <w:t>Mis-classifications</w:t>
            </w: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240" w:type="dxa"/>
            <w:vAlign w:val="bottom"/>
          </w:tcPr>
          <w:p>
            <w:pPr>
              <w:spacing w:after="0"/>
              <w:rPr>
                <w:sz w:val="17"/>
                <w:szCs w:val="17"/>
                <w:color w:val="auto"/>
              </w:rPr>
            </w:pPr>
          </w:p>
        </w:tc>
        <w:tc>
          <w:tcPr>
            <w:tcW w:w="10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w w:val="95"/>
              </w:rPr>
              <w:t>previously</w:t>
            </w:r>
          </w:p>
        </w:tc>
        <w:tc>
          <w:tcPr>
            <w:tcW w:w="320" w:type="dxa"/>
            <w:vAlign w:val="bottom"/>
          </w:tcPr>
          <w:p>
            <w:pPr>
              <w:spacing w:after="0"/>
              <w:rPr>
                <w:sz w:val="17"/>
                <w:szCs w:val="17"/>
                <w:color w:val="auto"/>
              </w:rPr>
            </w:pP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w w:val="96"/>
              </w:rPr>
              <w:t>Equity based</w:t>
            </w:r>
          </w:p>
        </w:tc>
        <w:tc>
          <w:tcPr>
            <w:tcW w:w="300" w:type="dxa"/>
            <w:vAlign w:val="bottom"/>
          </w:tcPr>
          <w:p>
            <w:pPr>
              <w:spacing w:after="0"/>
              <w:rPr>
                <w:sz w:val="17"/>
                <w:szCs w:val="17"/>
                <w:color w:val="auto"/>
              </w:rPr>
            </w:pPr>
          </w:p>
        </w:tc>
        <w:tc>
          <w:tcPr>
            <w:tcW w:w="172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As</w:t>
            </w:r>
          </w:p>
        </w:tc>
      </w:tr>
      <w:tr>
        <w:trPr>
          <w:trHeight w:val="221"/>
        </w:trPr>
        <w:tc>
          <w:tcPr>
            <w:tcW w:w="5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8"/>
              </w:rPr>
              <w:t>reported</w:t>
            </w:r>
          </w:p>
        </w:tc>
        <w:tc>
          <w:tcPr>
            <w:tcW w:w="16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compensation</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7"/>
              </w:rPr>
              <w:t>immaterial errors</w:t>
            </w: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restated</w:t>
            </w:r>
          </w:p>
        </w:tc>
      </w:tr>
      <w:tr>
        <w:trPr>
          <w:trHeight w:val="19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20" w:type="dxa"/>
            <w:vAlign w:val="bottom"/>
            <w:gridSpan w:val="4"/>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297,125</w:t>
            </w:r>
          </w:p>
        </w:tc>
        <w:tc>
          <w:tcPr>
            <w:tcW w:w="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296,910</w:t>
            </w:r>
          </w:p>
        </w:tc>
      </w:tr>
      <w:tr>
        <w:trPr>
          <w:trHeight w:val="277"/>
        </w:trPr>
        <w:tc>
          <w:tcPr>
            <w:tcW w:w="5240" w:type="dxa"/>
            <w:vAlign w:val="bottom"/>
          </w:tcPr>
          <w:p>
            <w:pPr>
              <w:spacing w:after="0"/>
              <w:rPr>
                <w:sz w:val="20"/>
                <w:szCs w:val="20"/>
                <w:color w:val="auto"/>
              </w:rPr>
            </w:pPr>
            <w:r>
              <w:rPr>
                <w:rFonts w:ascii="Arial" w:cs="Arial" w:eastAsia="Arial" w:hAnsi="Arial"/>
                <w:sz w:val="18"/>
                <w:szCs w:val="18"/>
                <w:b w:val="1"/>
                <w:bCs w:val="1"/>
                <w:color w:val="auto"/>
              </w:rPr>
              <w:t>Cost and operating expenses</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244,955</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3,315</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247,670</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7"/>
                <w:szCs w:val="17"/>
                <w:color w:val="auto"/>
              </w:rPr>
            </w:pPr>
          </w:p>
        </w:tc>
        <w:tc>
          <w:tcPr>
            <w:tcW w:w="9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(6,509)</w:t>
            </w:r>
          </w:p>
        </w:tc>
        <w:tc>
          <w:tcPr>
            <w:tcW w:w="300" w:type="dxa"/>
            <w:vAlign w:val="bottom"/>
          </w:tcPr>
          <w:p>
            <w:pPr>
              <w:spacing w:after="0"/>
              <w:rPr>
                <w:sz w:val="17"/>
                <w:szCs w:val="17"/>
                <w:color w:val="auto"/>
              </w:rPr>
            </w:pPr>
          </w:p>
        </w:tc>
        <w:tc>
          <w:tcPr>
            <w:tcW w:w="17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18,248</w:t>
            </w:r>
          </w:p>
        </w:tc>
        <w:tc>
          <w:tcPr>
            <w:tcW w:w="3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11,739</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(1,081)</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11,420</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10,339</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9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(2,703)</w:t>
            </w:r>
          </w:p>
        </w:tc>
        <w:tc>
          <w:tcPr>
            <w:tcW w:w="300" w:type="dxa"/>
            <w:vAlign w:val="bottom"/>
          </w:tcPr>
          <w:p>
            <w:pPr>
              <w:spacing w:after="0"/>
              <w:rPr>
                <w:sz w:val="17"/>
                <w:szCs w:val="17"/>
                <w:color w:val="auto"/>
              </w:rPr>
            </w:pPr>
          </w:p>
        </w:tc>
        <w:tc>
          <w:tcPr>
            <w:tcW w:w="17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10,546</w:t>
            </w:r>
          </w:p>
        </w:tc>
        <w:tc>
          <w:tcPr>
            <w:tcW w:w="3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7,843</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5,367</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(5,367)</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Payroll and benefits expense</w:t>
            </w:r>
          </w:p>
        </w:tc>
        <w:tc>
          <w:tcPr>
            <w:tcW w:w="140" w:type="dxa"/>
            <w:vAlign w:val="bottom"/>
          </w:tcPr>
          <w:p>
            <w:pPr>
              <w:spacing w:after="0"/>
              <w:rPr>
                <w:sz w:val="17"/>
                <w:szCs w:val="17"/>
                <w:color w:val="auto"/>
              </w:rPr>
            </w:pPr>
          </w:p>
        </w:tc>
        <w:tc>
          <w:tcPr>
            <w:tcW w:w="9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26,393</w:t>
            </w:r>
          </w:p>
        </w:tc>
        <w:tc>
          <w:tcPr>
            <w:tcW w:w="320" w:type="dxa"/>
            <w:vAlign w:val="bottom"/>
          </w:tcPr>
          <w:p>
            <w:pPr>
              <w:spacing w:after="0"/>
              <w:rPr>
                <w:sz w:val="17"/>
                <w:szCs w:val="17"/>
                <w:color w:val="auto"/>
              </w:rPr>
            </w:pP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7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(26,393)</w:t>
            </w:r>
          </w:p>
        </w:tc>
        <w:tc>
          <w:tcPr>
            <w:tcW w:w="3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10,286</w:t>
            </w:r>
          </w:p>
        </w:tc>
        <w:tc>
          <w:tcPr>
            <w:tcW w:w="3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(10,286)</w:t>
            </w: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7"/>
        </w:trPr>
        <w:tc>
          <w:tcPr>
            <w:tcW w:w="5240" w:type="dxa"/>
            <w:vAlign w:val="bottom"/>
          </w:tcPr>
          <w:p>
            <w:pPr>
              <w:ind w:left="220"/>
              <w:spacing w:after="0"/>
              <w:rPr>
                <w:sz w:val="20"/>
                <w:szCs w:val="20"/>
                <w:color w:val="auto"/>
              </w:rPr>
            </w:pPr>
            <w:r>
              <w:rPr>
                <w:rFonts w:ascii="Arial" w:cs="Arial" w:eastAsia="Arial" w:hAnsi="Arial"/>
                <w:sz w:val="18"/>
                <w:szCs w:val="18"/>
                <w:color w:val="auto"/>
              </w:rPr>
              <w:t>Total cost and operating expenses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287,001</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(10,893)</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1,483</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277,591</w:t>
            </w:r>
          </w:p>
        </w:tc>
        <w:tc>
          <w:tcPr>
            <w:tcW w:w="60" w:type="dxa"/>
            <w:vAlign w:val="bottom"/>
          </w:tcPr>
          <w:p>
            <w:pPr>
              <w:spacing w:after="0"/>
              <w:rPr>
                <w:sz w:val="18"/>
                <w:szCs w:val="18"/>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10,125</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10,893</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(1,699)</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19,319</w:t>
            </w:r>
          </w:p>
        </w:tc>
      </w:tr>
      <w:tr>
        <w:trPr>
          <w:trHeight w:val="209"/>
        </w:trPr>
        <w:tc>
          <w:tcPr>
            <w:tcW w:w="52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1,194</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1,194</w:t>
            </w:r>
          </w:p>
        </w:tc>
        <w:tc>
          <w:tcPr>
            <w:tcW w:w="60" w:type="dxa"/>
            <w:vAlign w:val="bottom"/>
          </w:tcPr>
          <w:p>
            <w:pPr>
              <w:spacing w:after="0"/>
              <w:rPr>
                <w:sz w:val="18"/>
                <w:szCs w:val="18"/>
                <w:color w:val="auto"/>
              </w:rPr>
            </w:pPr>
          </w:p>
        </w:tc>
      </w:tr>
      <w:tr>
        <w:trPr>
          <w:trHeight w:val="203"/>
        </w:trPr>
        <w:tc>
          <w:tcPr>
            <w:tcW w:w="5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8,930</w:t>
            </w:r>
          </w:p>
        </w:tc>
        <w:tc>
          <w:tcPr>
            <w:tcW w:w="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10,893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(1,699)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18,125</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9"/>
        </w:trPr>
        <w:tc>
          <w:tcPr>
            <w:tcW w:w="5240" w:type="dxa"/>
            <w:vAlign w:val="bottom"/>
          </w:tcPr>
          <w:p>
            <w:pPr>
              <w:spacing w:after="0"/>
              <w:rPr>
                <w:sz w:val="24"/>
                <w:szCs w:val="24"/>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rPr>
              <w:t>F-26</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6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Year ended December 31, 2019</w:t>
            </w:r>
          </w:p>
        </w:tc>
      </w:tr>
      <w:tr>
        <w:trPr>
          <w:trHeight w:val="177"/>
        </w:trPr>
        <w:tc>
          <w:tcPr>
            <w:tcW w:w="4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Mis-</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4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classifications</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As</w:t>
            </w: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and other</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previously</w:t>
            </w:r>
          </w:p>
        </w:tc>
        <w:tc>
          <w:tcPr>
            <w:tcW w:w="380" w:type="dxa"/>
            <w:vAlign w:val="bottom"/>
          </w:tcPr>
          <w:p>
            <w:pPr>
              <w:spacing w:after="0"/>
              <w:rPr>
                <w:sz w:val="17"/>
                <w:szCs w:val="17"/>
                <w:color w:val="auto"/>
              </w:rPr>
            </w:pPr>
          </w:p>
        </w:tc>
        <w:tc>
          <w:tcPr>
            <w:tcW w:w="140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w w:val="96"/>
              </w:rPr>
              <w:t>Equity based</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immaterial</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As</w:t>
            </w:r>
          </w:p>
        </w:tc>
      </w:tr>
      <w:tr>
        <w:trPr>
          <w:trHeight w:val="221"/>
        </w:trPr>
        <w:tc>
          <w:tcPr>
            <w:tcW w:w="4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reported</w:t>
            </w:r>
          </w:p>
        </w:tc>
        <w:tc>
          <w:tcPr>
            <w:tcW w:w="17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compensation</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errors</w:t>
            </w: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restated</w:t>
            </w:r>
          </w:p>
        </w:tc>
      </w:tr>
      <w:tr>
        <w:trPr>
          <w:trHeight w:val="196"/>
        </w:trPr>
        <w:tc>
          <w:tcPr>
            <w:tcW w:w="4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364"/>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4"/>
        </w:trPr>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18,926</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(410)</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17,820</w:t>
            </w:r>
          </w:p>
        </w:tc>
      </w:tr>
      <w:tr>
        <w:trPr>
          <w:trHeight w:val="56"/>
        </w:trPr>
        <w:tc>
          <w:tcPr>
            <w:tcW w:w="4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6"/>
        </w:trPr>
        <w:tc>
          <w:tcPr>
            <w:tcW w:w="46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Adjustments to reconcile net income to net cash provided</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46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by operating activities: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Non-cash equity-based compensation expense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3,184</w:t>
            </w:r>
          </w:p>
        </w:tc>
        <w:tc>
          <w:tcPr>
            <w:tcW w:w="380" w:type="dxa"/>
            <w:vAlign w:val="bottom"/>
          </w:tcPr>
          <w:p>
            <w:pPr>
              <w:spacing w:after="0"/>
              <w:rPr>
                <w:sz w:val="17"/>
                <w:szCs w:val="17"/>
                <w:color w:val="auto"/>
              </w:rPr>
            </w:pPr>
          </w:p>
        </w:tc>
        <w:tc>
          <w:tcPr>
            <w:tcW w:w="14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(876)</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2,308</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4,859</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5,381</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deferred debt issuance costs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351</w:t>
            </w:r>
          </w:p>
        </w:tc>
        <w:tc>
          <w:tcPr>
            <w:tcW w:w="380" w:type="dxa"/>
            <w:vAlign w:val="bottom"/>
          </w:tcPr>
          <w:p>
            <w:pPr>
              <w:spacing w:after="0"/>
              <w:rPr>
                <w:sz w:val="17"/>
                <w:szCs w:val="17"/>
                <w:color w:val="auto"/>
              </w:rPr>
            </w:pPr>
          </w:p>
        </w:tc>
        <w:tc>
          <w:tcPr>
            <w:tcW w:w="14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665</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Bad debt expense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354</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(18,862)</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(19,216)</w:t>
            </w:r>
          </w:p>
        </w:tc>
      </w:tr>
      <w:tr>
        <w:trPr>
          <w:trHeight w:val="203"/>
        </w:trPr>
        <w:tc>
          <w:tcPr>
            <w:tcW w:w="4600" w:type="dxa"/>
            <w:vAlign w:val="bottom"/>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w:t>
            </w:r>
          </w:p>
        </w:tc>
        <w:tc>
          <w:tcPr>
            <w:tcW w:w="380" w:type="dxa"/>
            <w:vAlign w:val="bottom"/>
          </w:tcPr>
          <w:p>
            <w:pPr>
              <w:spacing w:after="0"/>
              <w:rPr>
                <w:sz w:val="17"/>
                <w:szCs w:val="17"/>
                <w:color w:val="auto"/>
              </w:rPr>
            </w:pPr>
          </w:p>
        </w:tc>
        <w:tc>
          <w:tcPr>
            <w:tcW w:w="14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6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(162)</w:t>
            </w:r>
          </w:p>
        </w:tc>
      </w:tr>
      <w:tr>
        <w:trPr>
          <w:trHeight w:val="27"/>
        </w:trPr>
        <w:tc>
          <w:tcPr>
            <w:tcW w:w="4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6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23,436</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(1,286)</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22,143</w:t>
            </w:r>
          </w:p>
        </w:tc>
      </w:tr>
      <w:tr>
        <w:trPr>
          <w:trHeight w:val="217"/>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(294)</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(294)</w:t>
            </w:r>
          </w:p>
        </w:tc>
      </w:tr>
      <w:tr>
        <w:trPr>
          <w:trHeight w:val="277"/>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Repayments on long-term debt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(15,072)</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(15,073)</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Payments of debt issuance costs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(2,310)</w:t>
            </w:r>
          </w:p>
        </w:tc>
        <w:tc>
          <w:tcPr>
            <w:tcW w:w="380" w:type="dxa"/>
            <w:vAlign w:val="bottom"/>
          </w:tcPr>
          <w:p>
            <w:pPr>
              <w:spacing w:after="0"/>
              <w:rPr>
                <w:sz w:val="17"/>
                <w:szCs w:val="17"/>
                <w:color w:val="auto"/>
              </w:rPr>
            </w:pPr>
          </w:p>
        </w:tc>
        <w:tc>
          <w:tcPr>
            <w:tcW w:w="14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6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(2,303)</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paid to repurchase Class B units up to fair value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(4,467)</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(4,467)</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Cash paid for repurchases of Class A units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4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(62,806)</w:t>
            </w:r>
          </w:p>
        </w:tc>
        <w:tc>
          <w:tcPr>
            <w:tcW w:w="6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(62,806)</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Member contributions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62,805</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62,806</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Member distributions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(164,199)</w:t>
            </w:r>
          </w:p>
        </w:tc>
        <w:tc>
          <w:tcPr>
            <w:tcW w:w="380" w:type="dxa"/>
            <w:vAlign w:val="bottom"/>
          </w:tcPr>
          <w:p>
            <w:pPr>
              <w:spacing w:after="0"/>
              <w:rPr>
                <w:sz w:val="17"/>
                <w:szCs w:val="17"/>
                <w:color w:val="auto"/>
              </w:rPr>
            </w:pPr>
          </w:p>
        </w:tc>
        <w:tc>
          <w:tcPr>
            <w:tcW w:w="14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5,753</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62,806</w:t>
            </w:r>
          </w:p>
        </w:tc>
        <w:tc>
          <w:tcPr>
            <w:tcW w:w="6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(95,640)</w:t>
            </w:r>
          </w:p>
        </w:tc>
      </w:tr>
      <w:tr>
        <w:trPr>
          <w:trHeight w:val="27"/>
        </w:trPr>
        <w:tc>
          <w:tcPr>
            <w:tcW w:w="4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cash used in financing activities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(18,775)</w:t>
            </w: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1,286</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(17,483)</w:t>
            </w:r>
          </w:p>
        </w:tc>
      </w:tr>
      <w:tr>
        <w:trPr>
          <w:trHeight w:val="277"/>
        </w:trPr>
        <w:tc>
          <w:tcPr>
            <w:tcW w:w="46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paid for interest</w:t>
            </w:r>
          </w:p>
        </w:tc>
        <w:tc>
          <w:tcPr>
            <w:tcW w:w="62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6,399</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6,399</w:t>
            </w:r>
          </w:p>
        </w:tc>
      </w:tr>
      <w:tr>
        <w:trPr>
          <w:trHeight w:val="206"/>
        </w:trPr>
        <w:tc>
          <w:tcPr>
            <w:tcW w:w="4600" w:type="dxa"/>
            <w:vAlign w:val="bottom"/>
          </w:tcPr>
          <w:p>
            <w:pPr>
              <w:ind w:left="220"/>
              <w:spacing w:after="0" w:line="206" w:lineRule="exact"/>
              <w:rPr>
                <w:sz w:val="20"/>
                <w:szCs w:val="20"/>
                <w:color w:val="auto"/>
              </w:rPr>
            </w:pPr>
            <w:r>
              <w:rPr>
                <w:rFonts w:ascii="Arial" w:cs="Arial" w:eastAsia="Arial" w:hAnsi="Arial"/>
                <w:sz w:val="18"/>
                <w:szCs w:val="18"/>
                <w:color w:val="auto"/>
              </w:rPr>
              <w:t>Cash paid for repurchase of Class B units in excess of</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4600" w:type="dxa"/>
            <w:vAlign w:val="bottom"/>
          </w:tcPr>
          <w:p>
            <w:pPr>
              <w:ind w:left="420"/>
              <w:spacing w:after="0"/>
              <w:rPr>
                <w:sz w:val="20"/>
                <w:szCs w:val="20"/>
                <w:color w:val="auto"/>
              </w:rPr>
            </w:pPr>
            <w:r>
              <w:rPr>
                <w:rFonts w:ascii="Arial" w:cs="Arial" w:eastAsia="Arial" w:hAnsi="Arial"/>
                <w:sz w:val="18"/>
                <w:szCs w:val="18"/>
                <w:color w:val="auto"/>
              </w:rPr>
              <w:t>fair value</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212"/>
              <w:spacing w:after="0"/>
              <w:rPr>
                <w:sz w:val="20"/>
                <w:szCs w:val="20"/>
                <w:color w:val="auto"/>
              </w:rPr>
            </w:pPr>
            <w:r>
              <w:rPr>
                <w:rFonts w:ascii="Arial" w:cs="Arial" w:eastAsia="Arial" w:hAnsi="Arial"/>
                <w:sz w:val="18"/>
                <w:szCs w:val="18"/>
                <w:color w:val="auto"/>
              </w:rPr>
              <w:t>1,286</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1,286</w:t>
            </w:r>
          </w:p>
        </w:tc>
      </w:tr>
      <w:tr>
        <w:trPr>
          <w:trHeight w:val="357"/>
        </w:trPr>
        <w:tc>
          <w:tcPr>
            <w:tcW w:w="46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rPr>
              <w:t>F-27</w:t>
            </w: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94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Year ended December 31, 2018</w:t>
            </w:r>
          </w:p>
        </w:tc>
      </w:tr>
      <w:tr>
        <w:trPr>
          <w:trHeight w:val="177"/>
        </w:trPr>
        <w:tc>
          <w:tcPr>
            <w:tcW w:w="4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Mis-</w:t>
            </w:r>
          </w:p>
        </w:tc>
        <w:tc>
          <w:tcPr>
            <w:tcW w:w="6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4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classifications</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As</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and other</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auto"/>
                <w:w w:val="95"/>
              </w:rPr>
              <w:t>previously</w:t>
            </w:r>
          </w:p>
        </w:tc>
        <w:tc>
          <w:tcPr>
            <w:tcW w:w="380" w:type="dxa"/>
            <w:vAlign w:val="bottom"/>
          </w:tcPr>
          <w:p>
            <w:pPr>
              <w:spacing w:after="0"/>
              <w:rPr>
                <w:sz w:val="17"/>
                <w:szCs w:val="17"/>
                <w:color w:val="auto"/>
              </w:rPr>
            </w:pPr>
          </w:p>
        </w:tc>
        <w:tc>
          <w:tcPr>
            <w:tcW w:w="14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w w:val="96"/>
              </w:rPr>
              <w:t>Equity based</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immaterial</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As</w:t>
            </w:r>
          </w:p>
        </w:tc>
      </w:tr>
      <w:tr>
        <w:trPr>
          <w:trHeight w:val="221"/>
        </w:trPr>
        <w:tc>
          <w:tcPr>
            <w:tcW w:w="4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8"/>
              </w:rPr>
              <w:t>reported</w:t>
            </w:r>
          </w:p>
        </w:tc>
        <w:tc>
          <w:tcPr>
            <w:tcW w:w="18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compensation</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errors</w:t>
            </w: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restated</w:t>
            </w:r>
          </w:p>
        </w:tc>
      </w:tr>
      <w:tr>
        <w:trPr>
          <w:trHeight w:val="196"/>
        </w:trPr>
        <w:tc>
          <w:tcPr>
            <w:tcW w:w="4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364"/>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8,930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10,893</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18,125</w:t>
            </w:r>
          </w:p>
        </w:tc>
      </w:tr>
      <w:tr>
        <w:trPr>
          <w:trHeight w:val="56"/>
        </w:trPr>
        <w:tc>
          <w:tcPr>
            <w:tcW w:w="4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6"/>
        </w:trPr>
        <w:tc>
          <w:tcPr>
            <w:tcW w:w="4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Adjustments to reconcile net income to net cash provided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47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by operating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Non-cash equity-based compensation expense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11,718</w:t>
            </w:r>
          </w:p>
        </w:tc>
        <w:tc>
          <w:tcPr>
            <w:tcW w:w="380" w:type="dxa"/>
            <w:vAlign w:val="bottom"/>
          </w:tcPr>
          <w:p>
            <w:pPr>
              <w:spacing w:after="0"/>
              <w:rPr>
                <w:sz w:val="17"/>
                <w:szCs w:val="17"/>
                <w:color w:val="auto"/>
              </w:rPr>
            </w:pPr>
          </w:p>
        </w:tc>
        <w:tc>
          <w:tcPr>
            <w:tcW w:w="14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(10,893)</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824</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10,286</w:t>
            </w: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1,483</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11,769</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533</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760" w:type="dxa"/>
            <w:vAlign w:val="bottom"/>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(4,622)</w:t>
            </w:r>
          </w:p>
        </w:tc>
        <w:tc>
          <w:tcPr>
            <w:tcW w:w="380" w:type="dxa"/>
            <w:vAlign w:val="bottom"/>
          </w:tcPr>
          <w:p>
            <w:pPr>
              <w:spacing w:after="0"/>
              <w:rPr>
                <w:sz w:val="17"/>
                <w:szCs w:val="17"/>
                <w:color w:val="auto"/>
              </w:rPr>
            </w:pPr>
          </w:p>
        </w:tc>
        <w:tc>
          <w:tcPr>
            <w:tcW w:w="14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6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(5,155)</w:t>
            </w:r>
          </w:p>
        </w:tc>
      </w:tr>
      <w:tr>
        <w:trPr>
          <w:trHeight w:val="203"/>
        </w:trPr>
        <w:tc>
          <w:tcPr>
            <w:tcW w:w="47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(478)</w:t>
            </w: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(262)</w:t>
            </w:r>
          </w:p>
        </w:tc>
      </w:tr>
      <w:tr>
        <w:trPr>
          <w:trHeight w:val="203"/>
        </w:trPr>
        <w:tc>
          <w:tcPr>
            <w:tcW w:w="4760" w:type="dxa"/>
            <w:vAlign w:val="bottom"/>
          </w:tcPr>
          <w:p>
            <w:pPr>
              <w:ind w:left="420"/>
              <w:spacing w:after="0" w:line="202" w:lineRule="exact"/>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1,786</w:t>
            </w:r>
          </w:p>
        </w:tc>
        <w:tc>
          <w:tcPr>
            <w:tcW w:w="380" w:type="dxa"/>
            <w:vAlign w:val="bottom"/>
          </w:tcPr>
          <w:p>
            <w:pPr>
              <w:spacing w:after="0"/>
              <w:rPr>
                <w:sz w:val="17"/>
                <w:szCs w:val="17"/>
                <w:color w:val="auto"/>
              </w:rPr>
            </w:pPr>
          </w:p>
        </w:tc>
        <w:tc>
          <w:tcPr>
            <w:tcW w:w="14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1,789</w:t>
            </w:r>
          </w:p>
        </w:tc>
      </w:tr>
      <w:tr>
        <w:trPr>
          <w:trHeight w:val="203"/>
        </w:trPr>
        <w:tc>
          <w:tcPr>
            <w:tcW w:w="47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197</w:t>
            </w:r>
          </w:p>
        </w:tc>
      </w:tr>
      <w:tr>
        <w:trPr>
          <w:trHeight w:val="20"/>
        </w:trPr>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6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22,649</w:t>
            </w:r>
          </w:p>
        </w:tc>
        <w:tc>
          <w:tcPr>
            <w:tcW w:w="380" w:type="dxa"/>
            <w:vAlign w:val="bottom"/>
          </w:tcPr>
          <w:p>
            <w:pPr>
              <w:spacing w:after="0"/>
              <w:rPr>
                <w:sz w:val="18"/>
                <w:szCs w:val="18"/>
                <w:color w:val="auto"/>
              </w:rPr>
            </w:pP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22,649</w:t>
            </w:r>
          </w:p>
        </w:tc>
      </w:tr>
      <w:tr>
        <w:trPr>
          <w:trHeight w:val="75"/>
        </w:trPr>
        <w:tc>
          <w:tcPr>
            <w:tcW w:w="4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(640)</w:t>
            </w:r>
          </w:p>
        </w:tc>
        <w:tc>
          <w:tcPr>
            <w:tcW w:w="380" w:type="dxa"/>
            <w:vAlign w:val="bottom"/>
          </w:tcPr>
          <w:p>
            <w:pPr>
              <w:spacing w:after="0"/>
              <w:rPr>
                <w:sz w:val="17"/>
                <w:szCs w:val="17"/>
                <w:color w:val="auto"/>
              </w:rPr>
            </w:pPr>
          </w:p>
        </w:tc>
        <w:tc>
          <w:tcPr>
            <w:tcW w:w="14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6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(630)</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 of intangible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
        </w:trPr>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760" w:type="dxa"/>
            <w:vAlign w:val="bottom"/>
          </w:tcPr>
          <w:p>
            <w:pPr>
              <w:ind w:left="2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(640)</w:t>
            </w:r>
          </w:p>
        </w:tc>
        <w:tc>
          <w:tcPr>
            <w:tcW w:w="380" w:type="dxa"/>
            <w:vAlign w:val="bottom"/>
          </w:tcPr>
          <w:p>
            <w:pPr>
              <w:spacing w:after="0"/>
              <w:rPr>
                <w:sz w:val="18"/>
                <w:szCs w:val="18"/>
                <w:color w:val="auto"/>
              </w:rPr>
            </w:pP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r>
      <w:tr>
        <w:trPr>
          <w:trHeight w:val="75"/>
        </w:trPr>
        <w:tc>
          <w:tcPr>
            <w:tcW w:w="4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Member distributions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(15,879)</w:t>
            </w:r>
          </w:p>
        </w:tc>
        <w:tc>
          <w:tcPr>
            <w:tcW w:w="380" w:type="dxa"/>
            <w:vAlign w:val="bottom"/>
          </w:tcPr>
          <w:p>
            <w:pPr>
              <w:spacing w:after="0"/>
              <w:rPr>
                <w:sz w:val="17"/>
                <w:szCs w:val="17"/>
                <w:color w:val="auto"/>
              </w:rPr>
            </w:pPr>
          </w:p>
        </w:tc>
        <w:tc>
          <w:tcPr>
            <w:tcW w:w="14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(15,878)</w:t>
            </w:r>
          </w:p>
        </w:tc>
      </w:tr>
      <w:tr>
        <w:trPr>
          <w:trHeight w:val="27"/>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(25,445)</w:t>
            </w: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(25,445)</w:t>
            </w:r>
          </w:p>
        </w:tc>
      </w:tr>
      <w:tr>
        <w:trPr>
          <w:trHeight w:val="277"/>
        </w:trPr>
        <w:tc>
          <w:tcPr>
            <w:tcW w:w="476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interest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1,201</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Summary of significant accounting policies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and pursuant to the rules and regulations of the Securities and Exchange Commission. The consolidated financial statements include the accounts of QLH and its wholly owned subsidiaries. All intercompany transactions and balances have been eliminated in consolidation.</w:t>
      </w:r>
    </w:p>
    <w:p>
      <w:pPr>
        <w:spacing w:after="0" w:line="100"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QLH was formed for the sole purpose of reorganizing the ownership structure of QL in order to complete the purchase of a majority of QLH membership interests by WMC, with an effective date of March 14, 2014. This acquisition was accounted for by WMC under the acquisition method of accounting in accordance with FASB ASC 805, under which the purchase price was allocated to the assets acquired and liabilities assumed based on the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100"/>
        <w:spacing w:after="0" w:line="281" w:lineRule="auto"/>
        <w:rPr>
          <w:sz w:val="20"/>
          <w:szCs w:val="20"/>
          <w:color w:val="auto"/>
        </w:rPr>
      </w:pPr>
      <w:r>
        <w:rPr>
          <w:rFonts w:ascii="Arial" w:cs="Arial" w:eastAsia="Arial" w:hAnsi="Arial"/>
          <w:sz w:val="16"/>
          <w:szCs w:val="16"/>
          <w:color w:val="auto"/>
        </w:rPr>
        <w:t>estimated fair values at the date of the acquisition. In accordance with ASC 805, QLH and its wholly owned subsidiary QL elected the option to apply pushdown accounting, and accordingly, recorded goodwill to the extent the purchase price exceeded the fair value of assets acquired, net of liabilities assumed, on the accounting records of QL, with a corresponding entry to members’ (deficit) equity in the Company.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certain assets and liabilities, certain disclosures at the date of the consolidated financial statements, as well as the reported amounts of revenue and expenses during the reporting period. Significant estimates and assumptions reflected in these consolidated financial statements include, but are not limited to, valuation of goodwill and long-lived assets for impairment and inputs into the valuation of our equity-based compensation awards. Significant estimates affecting the consolidated financial statements have been prepared on the basis of the most current and best available information, including historical experience, known trends and other market-specific or other relevant factors that the Company believes to be reasonable. On an ongoing basis, management evaluates its estimates, as there are changes in circumstances, facts and experience. Changes in estimates are recorded in periods which they become known. However, actual results from the resolution of such estimates and assumptions may vary from those used in the preparation of the consolidated financial statements. The full extent to which the COVID-19 pandemic will directly or indirectly impact our business, results of operations and financial condition, including revenue, expenses, reserves and allowances, asset recoverability, and employee-related amounts, will depend on future developments that are highly uncertain, including as a result of new information that may emerge concerning COVID-19 and the actions taken to contain it or treat COVID-19, as well as the economic impact on our customers and markets. We have made estimates of the impact of COVID-19 within our financial statements and there may be changes to those estimates in future periods. Actual results may differ from these estimates.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4"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Company generates revenue by delivering consumer referrals to its buyer customers who acquire consumer referrals (“customers” or “buyers”) on its technology platform.</w:t>
      </w:r>
    </w:p>
    <w:p>
      <w:pPr>
        <w:spacing w:after="0" w:line="8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On January 1, 2018,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governs how the Company recognizes revenue derived from the consumer referrals. The Company recognizes revenue when the Company transfers promised goods or services to customers in an amount that reflects the consideration to which the Company is entitled. The Company recognizes revenue pursuant to the framework contained in ASC 606: (i) identify the contract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the Company satisfies the performance obligations.</w:t>
      </w:r>
    </w:p>
    <w:p>
      <w:pPr>
        <w:spacing w:after="0" w:line="101"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Generally, the Company’s contracts with buyers specify a period of time covered and a budget governing spend limits. While contracts can specify a term, most of the Company’s contracts can be terminated at any time without penalty. As a result, the transaction price for the delivery of each consumer referral is determined and recorded in real time and no estimation of variable consideration or future consideration is required. The transaction with the Company’s customer is for the delivery of consumer referrals.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Company has assessed the services promised in its contracts with customers and has identified one performance obligation, which is the delivery of consumer referrals that meet its customers specifications.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Consumer referral transactions are summarized as follows:</w:t>
      </w:r>
    </w:p>
    <w:p>
      <w:pPr>
        <w:spacing w:after="0" w:line="117" w:lineRule="exact"/>
        <w:rPr>
          <w:sz w:val="20"/>
          <w:szCs w:val="20"/>
          <w:color w:val="auto"/>
        </w:rPr>
      </w:pPr>
    </w:p>
    <w:p>
      <w:pPr>
        <w:ind w:left="340" w:right="300" w:hanging="224"/>
        <w:spacing w:after="0" w:line="299"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Click revenue is recognized on a pay-per-click basis and revenue is earned and recognized when a consumer clicks on a listed buyer’s advertisement, presented subsequent to a consumer search (e.g. auto insurance quote search or health insurance quote search).</w:t>
      </w:r>
    </w:p>
    <w:p>
      <w:pPr>
        <w:spacing w:after="0" w:line="68" w:lineRule="exact"/>
        <w:rPr>
          <w:rFonts w:ascii="Arial" w:cs="Arial" w:eastAsia="Arial" w:hAnsi="Arial"/>
          <w:sz w:val="16"/>
          <w:szCs w:val="16"/>
          <w:color w:val="auto"/>
        </w:rPr>
      </w:pPr>
    </w:p>
    <w:p>
      <w:pPr>
        <w:ind w:left="340" w:right="60" w:hanging="224"/>
        <w:spacing w:after="0" w:line="239"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Call revenue is earned and recognized when a consumer transfers to a call buyer and remains engaged for a requisite duration of time, as specified by each buyer.</w:t>
      </w:r>
    </w:p>
    <w:p>
      <w:pPr>
        <w:spacing w:after="0" w:line="114" w:lineRule="exact"/>
        <w:rPr>
          <w:rFonts w:ascii="Arial" w:cs="Arial" w:eastAsia="Arial" w:hAnsi="Arial"/>
          <w:sz w:val="18"/>
          <w:szCs w:val="18"/>
          <w:color w:val="auto"/>
        </w:rPr>
      </w:pPr>
    </w:p>
    <w:p>
      <w:pPr>
        <w:ind w:left="340" w:right="20" w:hanging="224"/>
        <w:spacing w:after="0" w:line="238"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Lead revenue is recognized when the Company delivers data leads to buyer. Data leads are generated through insurance carriers or insurance-focused research destination websites who make the data leads available to buy through the Company’s platform or when users complete a full quote request on the Company’s proprietary websites. Delivery occurs at the time of lead transfer.</w:t>
      </w:r>
    </w:p>
    <w:p>
      <w:pPr>
        <w:spacing w:after="0" w:line="100"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The Company satisfies its performance obligation as services are provided. The Company does not promise to provide any other significant goods or services to its customers after delivery. The Company generally does not offer a right of return.</w:t>
      </w:r>
    </w:p>
    <w:p>
      <w:pPr>
        <w:spacing w:after="0" w:line="101" w:lineRule="exact"/>
        <w:rPr>
          <w:sz w:val="20"/>
          <w:szCs w:val="20"/>
          <w:color w:val="auto"/>
        </w:rPr>
      </w:pPr>
    </w:p>
    <w:p>
      <w:pPr>
        <w:ind w:left="120" w:right="460"/>
        <w:spacing w:after="0" w:line="299" w:lineRule="auto"/>
        <w:rPr>
          <w:sz w:val="20"/>
          <w:szCs w:val="20"/>
          <w:color w:val="auto"/>
        </w:rPr>
      </w:pPr>
      <w:r>
        <w:rPr>
          <w:rFonts w:ascii="Arial" w:cs="Arial" w:eastAsia="Arial" w:hAnsi="Arial"/>
          <w:sz w:val="16"/>
          <w:szCs w:val="16"/>
          <w:color w:val="auto"/>
        </w:rPr>
        <w:t>The Company bills customers monthly in arrears for consumer referrals delivered during the preceding month. The Company’s standard payment terms are 30-60 days. Consequently, the Company does not have significant financing components in its arrangements.</w:t>
      </w:r>
    </w:p>
    <w:p>
      <w:pPr>
        <w:spacing w:after="0" w:line="5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the Company’s open platform transactions, the Company has control over the consumer referrals that are sold to buyers. In these arrangements, the Company has separate agreements with its customers and suppliers (or “supply partners” or “sellers”). Suppliers are neither party to the contractual arrangements with the Company’s customers, nor are the suppliers the beneficiaries of the Company’s customer agreements. The Company earns fees from its customers and separately pays internet search companies to drive consumers to the Company’s proprietary websites and suppliers. The Company is the principal in the open platform transactions. As a result, the fees paid by its customers are recognized as revenue and the fees paid to its suppliers are included in cost of revenue.</w:t>
      </w:r>
    </w:p>
    <w:p>
      <w:pPr>
        <w:spacing w:after="0" w:line="10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With respect to our private platform transactions, buyers and supply partners contract with one another directly and leverage the Company’s platform to facilitate transparent, real-time transactions utilizing the reporting and analytical tools available to them from use of the Company’s platform. The Company charges a platform fee on the consumer referrals transacted. The Company acts as an agent in the private platform transactions and recognizes revenue on the platform fee received. The Company recognizes revenue concurrent with consumer referral transactions that are facilitated by the platform. There are no separate payments made by the Company to supply partners in the Company’s private platforms.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entirely of cash deposits.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Company provides credit to customers in the ordinary course of business and believes its credit policies are prudent and reflect industry practices and business risk. Accounts receivables are stated at amounts due from customers. The Company reviews accounts receivable on a periodic basis and determines an allowance for doubtful accounts by considering a number of factors including the length of time trade accounts receivable are past due, the Company’s previous loss history, the customer’s current ability to pay its obligation to the Company, and the condition of the general economy and the industry as a whole. The Company writes off outstanding accounts receivable against the allowance when the Company has exhausted all collection efforts and the potential recovery is considered remote. Payments subsequently received on such receivables are credited to the allowance for doubtful accounts.</w:t>
      </w:r>
    </w:p>
    <w:p>
      <w:pPr>
        <w:spacing w:after="0" w:line="101"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The Company reported an allowance for doubtful accounts of $0.3 million as of December 31, 2019 and $0.5 million as of December 31, 2018.</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of Significant Customers and Suppliers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and accounts receivable. The Company maintains cash balances that can, at times, exceed amounts insured by the Federal Deposit Insurance Corporation. The Company has not experienced any losses in these accounts, and believes it is not exposed to unusual credit risk beyond the normal credit risk in this area based on the financial strength of institutions with which the Company maintains its deposits.</w:t>
      </w:r>
    </w:p>
    <w:p>
      <w:pPr>
        <w:spacing w:after="0" w:line="100" w:lineRule="exact"/>
        <w:rPr>
          <w:sz w:val="20"/>
          <w:szCs w:val="20"/>
          <w:color w:val="auto"/>
        </w:rPr>
      </w:pPr>
    </w:p>
    <w:p>
      <w:pPr>
        <w:ind w:left="120" w:right="440"/>
        <w:spacing w:after="0" w:line="275" w:lineRule="auto"/>
        <w:rPr>
          <w:sz w:val="20"/>
          <w:szCs w:val="20"/>
          <w:color w:val="auto"/>
        </w:rPr>
      </w:pPr>
      <w:r>
        <w:rPr>
          <w:rFonts w:ascii="Arial" w:cs="Arial" w:eastAsia="Arial" w:hAnsi="Arial"/>
          <w:sz w:val="16"/>
          <w:szCs w:val="16"/>
          <w:color w:val="auto"/>
        </w:rPr>
        <w:t>The Company’s accounts receivable, which are unsecured, may expose the Company to credit risk due to collectability. The Company controls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receivables, and recording allowances for doubtful accounts when these receivables become uncollectible.</w:t>
      </w:r>
    </w:p>
    <w:p>
      <w:pPr>
        <w:spacing w:after="0" w:line="75" w:lineRule="exact"/>
        <w:rPr>
          <w:sz w:val="20"/>
          <w:szCs w:val="20"/>
          <w:color w:val="auto"/>
        </w:rPr>
      </w:pPr>
    </w:p>
    <w:p>
      <w:pPr>
        <w:ind w:left="120" w:right="300"/>
        <w:spacing w:after="0" w:line="281" w:lineRule="auto"/>
        <w:rPr>
          <w:sz w:val="20"/>
          <w:szCs w:val="20"/>
          <w:color w:val="auto"/>
        </w:rPr>
      </w:pPr>
      <w:r>
        <w:rPr>
          <w:rFonts w:ascii="Arial" w:cs="Arial" w:eastAsia="Arial" w:hAnsi="Arial"/>
          <w:sz w:val="16"/>
          <w:szCs w:val="16"/>
          <w:color w:val="auto"/>
        </w:rPr>
        <w:t>Customer concentrations for the years ended December 31, 2019 and 2018 consisted of one customer that accounted for approximately $78.8 million, or 19%, and $85.6 million, or 29%, of revenue, respectively; the same customer accounted for approximately $4.7 million, or 8%, of the Company’s accounts receivable as of December 31, 2019 compared to $4.8 million, or 13%, as of December 31, 2018.</w:t>
      </w:r>
    </w:p>
    <w:p>
      <w:pPr>
        <w:spacing w:after="0" w:line="69"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The Company’s accounts payable can expose the Company to business risks such as supplier concentrations. As of December 31, 2019 and December 31, 2018, supplier concentrations consisted of two suppliers that accounted for approximately $84.6 million, or 24%, and</w:t>
      </w:r>
    </w:p>
    <w:p>
      <w:pPr>
        <w:spacing w:after="0" w:line="1" w:lineRule="exact"/>
        <w:rPr>
          <w:sz w:val="20"/>
          <w:szCs w:val="20"/>
          <w:color w:val="auto"/>
        </w:rPr>
      </w:pPr>
    </w:p>
    <w:p>
      <w:pPr>
        <w:ind w:left="120" w:right="820"/>
        <w:spacing w:after="0" w:line="239" w:lineRule="auto"/>
        <w:rPr>
          <w:sz w:val="20"/>
          <w:szCs w:val="20"/>
          <w:color w:val="auto"/>
        </w:rPr>
      </w:pPr>
      <w:r>
        <w:rPr>
          <w:rFonts w:ascii="Arial" w:cs="Arial" w:eastAsia="Arial" w:hAnsi="Arial"/>
          <w:sz w:val="18"/>
          <w:szCs w:val="18"/>
          <w:color w:val="auto"/>
        </w:rPr>
        <w:t>$58.2 million, or 23%, of total purchases, respectively; the same suppliers accounted for approximately $13.9 million, or 34%, of the Company’s total accounts payable as of December 31, 2019 compared to $10.2 million, or 38%, as of December 31, 2018.</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2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Deferred offering costs, which consist of direct incremental legal and accounting fees relating to the Company becoming a publicly traded company are capitalized. The deferred offering costs will be offset against the proceeds of becoming a publicly traded company upon the consummation of the offering. In the event the offering is terminated, deferred offering costs will be expensed. As of December 31, 2019 and 2018, no offering costs were deferred on the consolidated balance sheets.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4"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expense is calculated using the straight-line method over the estimated useful lives of each asset as follows:</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020" w:type="dxa"/>
            <w:vAlign w:val="bottom"/>
            <w:tcBorders>
              <w:bottom w:val="single" w:sz="8" w:color="auto"/>
            </w:tcBorders>
          </w:tcPr>
          <w:p>
            <w:pPr>
              <w:spacing w:after="0"/>
              <w:rPr>
                <w:sz w:val="19"/>
                <w:szCs w:val="19"/>
                <w:color w:val="auto"/>
              </w:rPr>
            </w:pP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Estimated useful life</w:t>
            </w:r>
          </w:p>
        </w:tc>
      </w:tr>
      <w:tr>
        <w:trPr>
          <w:trHeight w:val="253"/>
        </w:trPr>
        <w:tc>
          <w:tcPr>
            <w:tcW w:w="4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000" w:type="dxa"/>
            <w:vAlign w:val="bottom"/>
          </w:tcPr>
          <w:p>
            <w:pPr>
              <w:jc w:val="right"/>
              <w:spacing w:after="0"/>
              <w:rPr>
                <w:sz w:val="20"/>
                <w:szCs w:val="20"/>
                <w:color w:val="auto"/>
              </w:rPr>
            </w:pPr>
            <w:r>
              <w:rPr>
                <w:rFonts w:ascii="Arial" w:cs="Arial" w:eastAsia="Arial" w:hAnsi="Arial"/>
                <w:sz w:val="18"/>
                <w:szCs w:val="18"/>
                <w:color w:val="auto"/>
              </w:rPr>
              <w:t>The shorter of their lease term or the estimated useful life of the</w:t>
            </w:r>
          </w:p>
        </w:tc>
      </w:tr>
      <w:tr>
        <w:trPr>
          <w:trHeight w:val="203"/>
        </w:trPr>
        <w:tc>
          <w:tcPr>
            <w:tcW w:w="4020" w:type="dxa"/>
            <w:vAlign w:val="bottom"/>
          </w:tcPr>
          <w:p>
            <w:pPr>
              <w:spacing w:after="0"/>
              <w:rPr>
                <w:sz w:val="17"/>
                <w:szCs w:val="17"/>
                <w:color w:val="auto"/>
              </w:rPr>
            </w:pPr>
          </w:p>
        </w:tc>
        <w:tc>
          <w:tcPr>
            <w:tcW w:w="7000" w:type="dxa"/>
            <w:vAlign w:val="bottom"/>
          </w:tcPr>
          <w:p>
            <w:pPr>
              <w:jc w:val="right"/>
              <w:spacing w:after="0" w:line="202" w:lineRule="exact"/>
              <w:rPr>
                <w:sz w:val="20"/>
                <w:szCs w:val="20"/>
                <w:color w:val="auto"/>
              </w:rPr>
            </w:pPr>
            <w:r>
              <w:rPr>
                <w:rFonts w:ascii="Arial" w:cs="Arial" w:eastAsia="Arial" w:hAnsi="Arial"/>
                <w:sz w:val="18"/>
                <w:szCs w:val="18"/>
                <w:color w:val="auto"/>
              </w:rPr>
              <w:t>improvements</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Computer</w:t>
            </w:r>
          </w:p>
        </w:tc>
        <w:tc>
          <w:tcPr>
            <w:tcW w:w="7000" w:type="dxa"/>
            <w:vAlign w:val="bottom"/>
          </w:tcPr>
          <w:p>
            <w:pPr>
              <w:jc w:val="right"/>
              <w:spacing w:after="0" w:line="202" w:lineRule="exact"/>
              <w:rPr>
                <w:sz w:val="20"/>
                <w:szCs w:val="20"/>
                <w:color w:val="auto"/>
              </w:rPr>
            </w:pPr>
            <w:r>
              <w:rPr>
                <w:rFonts w:ascii="Arial" w:cs="Arial" w:eastAsia="Arial" w:hAnsi="Arial"/>
                <w:sz w:val="18"/>
                <w:szCs w:val="18"/>
                <w:color w:val="auto"/>
              </w:rPr>
              <w:t>3 years</w:t>
            </w:r>
          </w:p>
        </w:tc>
      </w:tr>
      <w:tr>
        <w:trPr>
          <w:trHeight w:val="21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Furniture and fixtures</w:t>
            </w: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years</w:t>
            </w:r>
          </w:p>
        </w:tc>
      </w:tr>
    </w:tbl>
    <w:p>
      <w:pPr>
        <w:spacing w:after="0" w:line="111"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Betterments, renewals, and extraordinary repairs that materially extend the useful lives of assets are capitalized; other repairs and maintenance charges are expensed as incurred. The cost and related accumulated depreciation and amortization applicable to assets retired are removed from the accounts, and the gain or loss on disposition is recognized in the consolidated statement of operations for the period.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Company capitalizes certain costs incurred in connection with developing internal use software. The Company expenses all costs that relate to the planning and post-implementation phases of development as operating expenses. Costs incurred in the development phase are capitalized and amortized over the product’s estimated useful life. Costs associated with the repair or maintenance of existing software is included in operating expenses. Amortization expense for capitalized internal-use software development costs is calculated using the straight-line method over the estimated useful life of the software, which is approximately three years.</w:t>
      </w:r>
    </w:p>
    <w:p>
      <w:pPr>
        <w:spacing w:after="0" w:line="103" w:lineRule="exact"/>
        <w:rPr>
          <w:sz w:val="20"/>
          <w:szCs w:val="20"/>
          <w:color w:val="auto"/>
        </w:rPr>
      </w:pPr>
    </w:p>
    <w:p>
      <w:pPr>
        <w:ind w:left="120" w:right="480"/>
        <w:spacing w:after="0" w:line="238" w:lineRule="auto"/>
        <w:rPr>
          <w:sz w:val="20"/>
          <w:szCs w:val="20"/>
          <w:color w:val="auto"/>
        </w:rPr>
      </w:pPr>
      <w:r>
        <w:rPr>
          <w:rFonts w:ascii="Arial" w:cs="Arial" w:eastAsia="Arial" w:hAnsi="Arial"/>
          <w:sz w:val="18"/>
          <w:szCs w:val="18"/>
          <w:color w:val="auto"/>
        </w:rPr>
        <w:t>As the Company’s software product is mature, costs incurred on development of new features and functionality in 2019 and 2018 were insignificant; therefore, the Company did not capitalize any software development costs during the years ended December 31, 2019 and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Company accounts for business combinations in accordance with ASC Topic 805, which requires, among other things, the acquiring entity in a business combination to recognize the fair value of all the assets acquired and liabilities assumed; the recognition of acquisition-related costs in the consolidated results of operations; the recognition of restructuring costs in the consolidated results of operations for which the acquirer becomes obligated after the acquisition date; and contingent purchase consideration to be recognized at their fair values on the acquisition date with subsequent adjustments recognized in the consolidated results of operations. The excess of the purchase price over the fair value of the identified assets and liabilities is recorded as goodwill. Operating results of the acquired entity are reflected in the Company’s consolidated financial statements from date of acquisition.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24"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but rather is evaluated for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impairment on an annual basis, or whenever indications of potential impairment exist. In the absence of any indications of potential impairment, the evaluation of goodwill is performed during the fourth quarter of each year. For the purposes of goodwill impairment testing, the Company has one reporting unit.</w:t>
      </w:r>
    </w:p>
    <w:p>
      <w:pPr>
        <w:spacing w:after="0" w:line="82"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color w:val="auto"/>
        </w:rPr>
        <w:t xml:space="preserve">The Company early adopted ASU 2017-04, </w:t>
      </w:r>
      <w:r>
        <w:rPr>
          <w:rFonts w:ascii="Arial" w:cs="Arial" w:eastAsia="Arial" w:hAnsi="Arial"/>
          <w:sz w:val="16"/>
          <w:szCs w:val="16"/>
          <w:i w:val="1"/>
          <w:iCs w:val="1"/>
          <w:color w:val="auto"/>
        </w:rPr>
        <w:t>Intangibles—Goodwill and Other (Topic 350)</w:t>
      </w:r>
      <w:r>
        <w:rPr>
          <w:rFonts w:ascii="Arial" w:cs="Arial" w:eastAsia="Arial" w:hAnsi="Arial"/>
          <w:sz w:val="16"/>
          <w:szCs w:val="16"/>
          <w:color w:val="auto"/>
        </w:rPr>
        <w:t xml:space="preserve"> (“ASU 2017-04”) for goodwill impairment tests performed after January 1, 2018, which simplifies the subsequent measurement of goodwill by removing the second step of the two-step impairment test, which previously required a hypothetical purchase price allocation to measure goodwill impairment. Under the new guidance, goodwill impairment is the amount by which a reporting unit’s carrying value exceeds its fair value, not to exceed the carrying amount of goodwill. When testing goodwill for impairment, the Company first performs a qualitative assessment to determine whether it is necessary to perform a goodwill impairment test. The Company is required to perform a goodwill impairment test only if it concludes that it is more likely than not that the reporting unit’s fair value is less than the carrying value of its assets. Should this be the case, the next step is to identify whether a potential impairment exists by comparing the estimated fair value of the reporting unit with the carrying value, including goodwill. If the estimated fair value of the reporting unit exceeds the carrying value, goodwill is not considered to be impaired and no additional steps are necessary. If, however, the fair value of the reporting unit is less than its carrying value, then the amount of the impairment loss is the amount by which the reporting unit’s carrying value exceeds its fair value, not to exceed the carrying amount of goodwill.</w:t>
      </w:r>
    </w:p>
    <w:p>
      <w:pPr>
        <w:spacing w:after="0" w:line="28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Finite-lived intangible assets include technology and intellectual property, customer relationships, costs to acquire third-party publishers, non-compete agreements and domain names stated net of accumulated amortization or impairment charges. These assets are amortized over their estimated useful lives based on methods that approximate the pattern in which the economic benefits are expected to be realized. The amortization periods range from 2 years to 10 years.</w:t>
      </w:r>
    </w:p>
    <w:p>
      <w:pPr>
        <w:spacing w:after="0" w:line="100"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For the years ended December 31, 2019 and 2018, there were no impairments recognized for goodwill or intangible assets, based on the testing performed at the end of each fiscal year.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An impairment loss is recognized on long-lived assets in the consolidated statements of operations when indicators of impairment are present and the undiscounted cash flows estimated to be generated by those assets are less than the carrying amount of the assets. In such cases, the carrying value of these assets are adjusted to their estimated fair values and assets held for sale are adjusted to their estimated fair values less selling expenses.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2018, there were no impairments recognized for long-lived assets.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payable</w:t>
      </w:r>
    </w:p>
    <w:p>
      <w:pPr>
        <w:spacing w:after="0" w:line="12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Accounts payable are obligations to pay for goods or services that have been acquired in the ordinary course of business. Accounts payable are recognized initially at their settlement value and are classified as current liabilities if payment is due within one year or less. Accounts payable as of December 31, 2019 and 2018 consist of payments to suppliers and costs to acquire traffic from search engines.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9"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debt issuance costs</w:t>
      </w:r>
    </w:p>
    <w:p>
      <w:pPr>
        <w:spacing w:after="0" w:line="12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Costs incurred that are directly associated with obtaining access to capital under credit facilities are capitalized and amortized to interest expense over the terms of the applicable debt agreements using the effective interest method. Unamortized deferred costs are presented as a direct deduction from the carrying amount of the related long-term debt on the accompanying consolidated balance sheets.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Certain of the Company’s employees are granted, directly or indirectly, Class B units in QLH for services in connection with the Company’s operations. The Class B units are within the scope of equity-based compensation.</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Company uses a contingent claims analysis framework that relies on a Black-Scholes option-pricing model to determine the fair value of the Class B units of QLH. As of each valuation date of Class B units, the contingent claims analysis framework relies on the fair value of the total equity of QLH; management’s expected term to an exit event such as an event leading to a sale or an initial public offering of the Company; an estimate of equity volatility applicable to the Company commensurate to the term from the valuation to an exit date; an estimate for the discount for lack of marketability; a dividend yield and a risk-free rate as of each valuation date; and a calculated breakpoint that is akin to a strike price, above which the Class B units contractually share in the proceeds to QLH upon an exit event. Fair value of total equity for QLH is established using both a market multiples approach and a discounted cash flow method, as well as a price established from certain equity transactions with third-party investors. Compensation expense of those awards is recognized over the requisite service period, which is generally the vesting period of the respective award. Forfeitures are accounted for as they occur.</w:t>
      </w:r>
    </w:p>
    <w:p>
      <w:pPr>
        <w:spacing w:after="0" w:line="106"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payroll costs are classified or in which the award recipient’s service payments are classified.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redeemable Class A units</w:t>
      </w:r>
    </w:p>
    <w:p>
      <w:pPr>
        <w:spacing w:after="0" w:line="12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Mezzanine equity classification is required in accordance with ASC 480, Distinguishing Liabilities from Equity (ASC 480) when an equity instrument is redeemable (1) at a fixed or determinable price on a fixed or determinable date, (2) at the option of the shareholder, or (3) upon the occurrence of an event that is not solely within the control of the reporting entity.</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QLH’s Class A units that are held by Insignia Capital Group feature redemption rights that are considered to be outside of the Company’s control and subject to occurrence of uncertain future events. Conditionally redeemable Class A units (including Class A units that feature redemption rights that are either within the control of the holder or subject to redemption upon the occurrence of uncertain events not solely within QLH’s control) are classified as temporary equity. At all other times, shares of Class A units are classified as members’ (deficit) equity. QLH recognizes changes in redemption value immediately as they occur and will adjust the carrying value of the security to equal the redemption value at the end of each reporting period. Increases or decreases in the carrying amount of redeemable Class A units are effected by charges to increase accumulated deficit.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 distributions</w:t>
      </w:r>
    </w:p>
    <w:p>
      <w:pPr>
        <w:spacing w:after="0" w:line="124"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The Company’s policy is to record payment of unit distributions as a reduction to retained earnings, which is in a position of accumulated deficit as of December 31, 2019 and 2018.</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24" w:lineRule="exact"/>
        <w:rPr>
          <w:sz w:val="20"/>
          <w:szCs w:val="20"/>
          <w:color w:val="auto"/>
        </w:rPr>
      </w:pPr>
    </w:p>
    <w:p>
      <w:pPr>
        <w:ind w:left="120" w:right="160"/>
        <w:spacing w:after="0" w:line="299" w:lineRule="auto"/>
        <w:rPr>
          <w:sz w:val="20"/>
          <w:szCs w:val="20"/>
          <w:color w:val="auto"/>
        </w:rPr>
      </w:pPr>
      <w:r>
        <w:rPr>
          <w:rFonts w:ascii="Arial" w:cs="Arial" w:eastAsia="Arial" w:hAnsi="Arial"/>
          <w:sz w:val="16"/>
          <w:szCs w:val="16"/>
          <w:color w:val="auto"/>
        </w:rPr>
        <w:t>The redeemable Class A units, Class A units and Class B units have been granted and or sold to related parties. Our members are deemed to be related parties, and therefore equity transactions disclosed in these financial statements are deemed to be related party transactions.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24" w:lineRule="exact"/>
        <w:rPr>
          <w:sz w:val="20"/>
          <w:szCs w:val="20"/>
          <w:color w:val="auto"/>
        </w:rPr>
      </w:pPr>
    </w:p>
    <w:p>
      <w:pPr>
        <w:ind w:left="120" w:right="460"/>
        <w:spacing w:after="0" w:line="238" w:lineRule="auto"/>
        <w:rPr>
          <w:sz w:val="20"/>
          <w:szCs w:val="20"/>
          <w:color w:val="auto"/>
        </w:rPr>
      </w:pPr>
      <w:r>
        <w:rPr>
          <w:rFonts w:ascii="Arial" w:cs="Arial" w:eastAsia="Arial" w:hAnsi="Arial"/>
          <w:sz w:val="18"/>
          <w:szCs w:val="18"/>
          <w:color w:val="auto"/>
        </w:rPr>
        <w:t>The Company categorizes non-cancellable leases at their inception as either operating or capital leases. Costs for operating leases that include incentives such as payment escalations or rent abatements are recognized on a straight-line basis over the term of the lease. Additionally, inducements received from lessors are treated as a reduction of costs over the term of the agreement.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6"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 xml:space="preserve">The Company accounts for the fair value of its financial instruments in accordance with FASB ASC Topic 820,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(“ASC 820”). Non-recurring, non-financial assets and liabilities are also accounted for under the provisions of ASC 820.</w:t>
      </w:r>
    </w:p>
    <w:p>
      <w:pPr>
        <w:spacing w:after="0" w:line="8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ASC 820 defines fair value, establishes a framework for measuring fair value under US GAAP and enhances disclosures about fair value measurements. Fair value is defined as the exchange price that would be received for an asset or paid to transfer a liability (an exit price) in the principal or most advantageous market for an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unobservable:</w:t>
      </w:r>
    </w:p>
    <w:p>
      <w:pPr>
        <w:spacing w:after="0" w:line="8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0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Level 1 quoted prices), such as quoted prices in active markets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determining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including pricing models, discounted cash flow methodologies and similar techniques.</w:t>
      </w:r>
    </w:p>
    <w:p>
      <w:pPr>
        <w:spacing w:after="0" w:line="8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carrying values of the Company’s accounts receivable, accounts payable and accrued expenses and other current liabilities approximate their fair values due to the short-term nature of these assets and liabilities. Although market quotes for the fair value of long-term debt related to the Company’s revolving line of credit and term loan are not readily available, the Company believes its carrying value approximates fair value due to the variable interest rates, which are Level 2 inputs.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taxes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ASC 606-10 provides that the presentation of taxes assessed by a governmental authority, which are directly imposed on revenue-producing transactions (i.e., sales, use, and excise taxes) between a seller and a customer, on a gross basis (included in revenue and costs), or on a net basis (excluded from revenue), is a management decision on accounting policies that should be disclosed. In addition, for any such taxes that are reported on a gross basis, the amounts of those taxes should be disclosed in the consolidated financial statements for each period for which a consolidated statement of operations is presented, if those amounts are significant. The Company has elected to exclude sales taxes from revenue.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 operates in the United States and in a single operating segment. Operating segments are defined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 maker is its chief executive officer, who reviews financial information presented on a consolidated basis for purposes of allocating resources and evaluating financial performance. Since the Company operates in one operating segment, all required financial segment information can be found in the consolidated financial statements.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Company’s cost of revenue is comprised primarily of payments to suppliers and traffic acquisition costs paid to top tier search engines as well as telephony infrastructure costs, internet and hosting, merchant fees, salaries and related expenses, amortization expense and other expenses. Cost of revenue was $342.9 million for the year ended December 31, 2019 and $247.7 million for the year ended December 31, 2018. The costs consisted primarily of $284.5 million of payments to suppliers and $54.2 million of traffic acquisition costs during 2019, compared to $210.1 million of payments to suppliers and $34.0 million of traffic acquisition costs during 2018. Other costs including salaries and related expenses, internet and hosting, amortization, and other expenses were $4.2 million and $3.5 million for the years ended December 31, 2019 and 2018, respectively.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QLH is a limited liability company (“LLC”) and is treated as a partnership for U.S. federal and applicable state and local income tax purposes. As such, the net income or loss of the Company and related tax consequences are included in the tax returns of its members and generally is not subject to U.S. federal and applicable state income taxes at the entity level. With few exceptions, the Company is no longer subject to examination by tax authorities for returns filed prior to 2013, and no examinations are currently pending.</w:t>
      </w:r>
    </w:p>
    <w:p>
      <w:pPr>
        <w:spacing w:after="0" w:line="8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 xml:space="preserve">The Company follows the provisions of uncertain tax positions as addressed in FASB ASC Subtopic 740-10, </w:t>
      </w:r>
      <w:r>
        <w:rPr>
          <w:rFonts w:ascii="Arial" w:cs="Arial" w:eastAsia="Arial" w:hAnsi="Arial"/>
          <w:sz w:val="18"/>
          <w:szCs w:val="18"/>
          <w:i w:val="1"/>
          <w:iCs w:val="1"/>
          <w:color w:val="auto"/>
        </w:rPr>
        <w:t>Income Taxes</w:t>
      </w:r>
      <w:r>
        <w:rPr>
          <w:rFonts w:ascii="Arial" w:cs="Arial" w:eastAsia="Arial" w:hAnsi="Arial"/>
          <w:sz w:val="18"/>
          <w:szCs w:val="18"/>
          <w:color w:val="auto"/>
        </w:rPr>
        <w:t>. As of December 31, 2019 and 2018, the Company did not recognize any liabilities for uncertain tax positions.</w:t>
      </w:r>
    </w:p>
    <w:p>
      <w:pPr>
        <w:spacing w:after="0" w:line="8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Specifically, the Company records uncertain tax positions on the basis of a two-step process: (1) determine whether it is more likely than not that the tax positions will be sustained on the basis of the technical merits of the position and (2) for those tax positions that meet the more-likely-than-not recognition threshold, recognize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largest amount of tax benefit that is more than 50 percent likely to be realized upon ultimate settlement with the related tax authority.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24"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For the year ended December 31, 2019 and 2018, the Company did not have any differences between its net income and comprehensive income.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May 2014, the FASB issued ASU No. 2014-09, Revenue from Contracts with Customers (Topic 606), and has since issued several additional amendments thereto, collectively referred to herein as ASC 606. ASC 606 outlines a single comprehensive model for entities to use in accounting for revenue arising from contracts with customers and supersedes most current revenue recognition guidance, including industry specific guidance. The new standards require entities to apportion consideration from contracts to performance obligations on a relative standalone selling price basis, based on a five-step model. Under ASC 606, revenue is recognized when a customer obtains control of a promised good or service and is recognized in an amount that reflects the consideration that the entity expects to receive in exchange for the good or service. In addition, ASC 606 provides guidance on accounting for certain revenue related costs including costs associated with obtaining and fulfilling a contract. ASC 606 may be applied using either a full retrospective approach, under which all years included in the financial statements will be presented under the revised guidance, or a modified retrospective approach, under which the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 For public entities, the guidance was effective for annual periods beginning after December 15, 2017, including interim periods within those fiscal years. For non-public entities and emerging growth companies that choose to take advantage of the extended transition periods, the guidance was effective for annual periods beginning after December 15, 2018. The Company adopted ASC 606 as of January 1, 2018 using the modified retrospective method. The adoption of this guidance did not have a material impact on the Company’s financial statements.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 of a Business</w:t>
      </w:r>
    </w:p>
    <w:p>
      <w:pPr>
        <w:spacing w:after="0" w:line="104"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xml:space="preserve"> (ASC 805) (“ASU 2017-01”), which clarifies the definition of a business and affects the determination of whether acquisitions or disposals are accounted for as assets or as a business. Under the new guidance, when substantially all of the fair value of the assets is concentrated in a single identifiable asset or a group of similar identifiable assets, it is not a business. The new guidance is effective for annual periods beginning after December 15, 2018. The adoption of this guidance did not have a material impact on the Company’s financial statements.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(ASC 350), which changes the guidance on goodwill impairment testing. Under the new guidance, the qualitative assessment of the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recoverability of goodwill remains the same. However, the second step required under the existing guidance has been eliminated. Goodwill is considered impaired if the carrying value of the reporting unit exceeds the estimated fair value of the reporting unit. The Company early adopted ASU 2017-04 on January 1, 2018. The adoption of this guidance did not have a material impact on the Company’s financial statements.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not yet adopted accounting pronouncements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85"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The new guidance requires lessees to recognize lease assets and liabilities on the balance sheet for both operating and financing leases, with the exception of leases with an original term of 12 months or less. Under existing guidance, recognition of lease assets and liabilities is not required for operating leases. The lease assets and liabilities to be recognized are both measured initially based on the present value of the lease payments. Under the new guidance, a sale-leaseback transaction must meet the recognition criteria under ASC 606 in order to be accounted for as sale. ASU 2016-02 initially required adoption using a modified retrospective approach, under which all years presented in the financial statements would be prepared under the revised guidance. In July 2018, the FASB issued ASU No. 2018-11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In June 2020, the</w:t>
      </w:r>
    </w:p>
    <w:p>
      <w:pPr>
        <w:spacing w:after="0" w:line="18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FASB issued ASU No. 2020-05 that deferred the effective date for non-public entities and emerging growth companies that choose to take advantage of the extended transition periods to annual reporting periods beginning after December 15, 2021, and interim periods within fiscal years beginning after December 15, 2022. The Company is currently in the process of evaluating the potential impact of this new accounting guidance, which is effective for the Company for annual periods beginning after December 15, 2021.</w:t>
      </w:r>
    </w:p>
    <w:p>
      <w:pPr>
        <w:spacing w:after="0" w:line="8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to require the measurement of all expected credit losses for financial assets held at the reporting date based on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experience, current conditions, and reasonable and supportable forecasts. The ASU also amends the accounting for credit losses on available-for-sale debt securities and purchased financial assets with credit deterioration. In February 2020, the FASB issued ASU 2020-02, </w:t>
      </w:r>
      <w:r>
        <w:rPr>
          <w:rFonts w:ascii="Arial" w:cs="Arial" w:eastAsia="Arial" w:hAnsi="Arial"/>
          <w:sz w:val="18"/>
          <w:szCs w:val="18"/>
          <w:i w:val="1"/>
          <w:iCs w:val="1"/>
          <w:color w:val="auto"/>
        </w:rPr>
        <w:t xml:space="preserve">Financial Instruments—Credit Losses (Topic 326) and Leases (Topic 842)—Amendments to SEC Paragraphs Pursuant to SEC Staff Accounting Bulletin No. 119 and Update to SEC Section on Effective Date Related to Accounting Standards Update No. 2016-02, Leases (Topic 842) (SEC Update), </w:t>
      </w:r>
      <w:r>
        <w:rPr>
          <w:rFonts w:ascii="Arial" w:cs="Arial" w:eastAsia="Arial" w:hAnsi="Arial"/>
          <w:sz w:val="18"/>
          <w:szCs w:val="18"/>
          <w:color w:val="auto"/>
        </w:rPr>
        <w:t>which amends the language in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Subtopic 326-20 and addresses questions primarily regarding documentation and company policies. The guidance in 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82"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(“ASU 2020-04”), which provides optional expedients and exceptions for applying GAAP to contracts, hedging relationships, and other transactions affected by the discontinuation of the London Interbank Offered Rate or by another reference rate expected to be discontinued. The amendments are effective for all entities as of March 12, 2020 through December 31, 2022. The Company is currently evaluating the impacts of the provisions of ASU 2020-04 on its financial condition, results of operations, and cash flows.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Disaggregation of revenue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Company’s revenue disaggregated by transaction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4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4"/>
          </w:tcPr>
          <w:p>
            <w:pPr>
              <w:ind w:left="24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196"/>
        </w:trPr>
        <w:tc>
          <w:tcPr>
            <w:tcW w:w="7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(As restated)</w:t>
            </w:r>
          </w:p>
        </w:tc>
        <w:tc>
          <w:tcPr>
            <w:tcW w:w="138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(As restated)</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Open platform transactions</w:t>
            </w:r>
          </w:p>
        </w:tc>
        <w:tc>
          <w:tcPr>
            <w:tcW w:w="114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399,945</w:t>
            </w:r>
          </w:p>
        </w:tc>
        <w:tc>
          <w:tcPr>
            <w:tcW w:w="5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291,331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platform transactions</w:t>
            </w:r>
          </w:p>
        </w:tc>
        <w:tc>
          <w:tcPr>
            <w:tcW w:w="8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8,060</w:t>
            </w: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408,005</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7460" w:type="dxa"/>
            <w:vAlign w:val="bottom"/>
          </w:tcPr>
          <w:p>
            <w:pPr>
              <w:spacing w:after="0"/>
              <w:rPr>
                <w:sz w:val="20"/>
                <w:szCs w:val="20"/>
                <w:color w:val="auto"/>
              </w:rPr>
            </w:pPr>
            <w:r>
              <w:rPr>
                <w:rFonts w:ascii="Arial" w:cs="Arial" w:eastAsia="Arial" w:hAnsi="Arial"/>
                <w:sz w:val="18"/>
                <w:szCs w:val="18"/>
                <w:color w:val="auto"/>
              </w:rPr>
              <w:t>The following table shows the Company’s revenue disaggregated by product vertical:</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vMerge w:val="continue"/>
          </w:tcPr>
          <w:p>
            <w:pPr>
              <w:spacing w:after="0"/>
              <w:rPr>
                <w:sz w:val="17"/>
                <w:szCs w:val="17"/>
                <w:color w:val="auto"/>
              </w:rPr>
            </w:pPr>
          </w:p>
        </w:tc>
        <w:tc>
          <w:tcPr>
            <w:tcW w:w="46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(As restated)</w:t>
            </w:r>
          </w:p>
        </w:tc>
        <w:tc>
          <w:tcPr>
            <w:tcW w:w="1340" w:type="dxa"/>
            <w:vAlign w:val="bottom"/>
            <w:gridSpan w:val="3"/>
          </w:tcPr>
          <w:p>
            <w:pPr>
              <w:ind w:left="200"/>
              <w:spacing w:after="0" w:line="196" w:lineRule="exact"/>
              <w:rPr>
                <w:sz w:val="20"/>
                <w:szCs w:val="20"/>
                <w:color w:val="auto"/>
              </w:rPr>
            </w:pPr>
            <w:r>
              <w:rPr>
                <w:rFonts w:ascii="Arial" w:cs="Arial" w:eastAsia="Arial" w:hAnsi="Arial"/>
                <w:sz w:val="18"/>
                <w:szCs w:val="18"/>
                <w:b w:val="1"/>
                <w:bCs w:val="1"/>
                <w:color w:val="auto"/>
              </w:rPr>
              <w:t>(As restated)</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w:t>
            </w:r>
          </w:p>
        </w:tc>
        <w:tc>
          <w:tcPr>
            <w:tcW w:w="4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Property &amp; casualty insurance</w:t>
            </w:r>
          </w:p>
        </w:tc>
        <w:tc>
          <w:tcPr>
            <w:tcW w:w="4860" w:type="dxa"/>
            <w:vAlign w:val="bottom"/>
            <w:gridSpan w:val="2"/>
          </w:tcPr>
          <w:p>
            <w:pPr>
              <w:ind w:left="46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219,467</w:t>
            </w: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162,088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Health insurance</w:t>
            </w:r>
          </w:p>
        </w:tc>
        <w:tc>
          <w:tcPr>
            <w:tcW w:w="4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104,261</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71,437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Life insurance</w:t>
            </w:r>
          </w:p>
        </w:tc>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33,012</w:t>
            </w:r>
          </w:p>
        </w:tc>
        <w:tc>
          <w:tcPr>
            <w:tcW w:w="4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6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51,265</w:t>
            </w: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2"/>
          </w:tcPr>
          <w:p>
            <w:pPr>
              <w:ind w:left="46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408,005</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3820" w:type="dxa"/>
            <w:vAlign w:val="bottom"/>
          </w:tcPr>
          <w:p>
            <w:pPr>
              <w:spacing w:after="0"/>
              <w:rPr>
                <w:sz w:val="24"/>
                <w:szCs w:val="24"/>
                <w:color w:val="auto"/>
              </w:rPr>
            </w:pPr>
          </w:p>
        </w:tc>
        <w:tc>
          <w:tcPr>
            <w:tcW w:w="4860" w:type="dxa"/>
            <w:vAlign w:val="bottom"/>
            <w:gridSpan w:val="2"/>
          </w:tcPr>
          <w:p>
            <w:pPr>
              <w:ind w:left="1500"/>
              <w:spacing w:after="0"/>
              <w:rPr>
                <w:sz w:val="20"/>
                <w:szCs w:val="20"/>
                <w:color w:val="auto"/>
              </w:rPr>
            </w:pPr>
            <w:r>
              <w:rPr>
                <w:rFonts w:ascii="Arial" w:cs="Arial" w:eastAsia="Arial" w:hAnsi="Arial"/>
                <w:sz w:val="18"/>
                <w:szCs w:val="18"/>
                <w:color w:val="auto"/>
              </w:rPr>
              <w:t>F-39</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Property and equipment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vMerge w:val="continue"/>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Leasehold improvements</w:t>
            </w:r>
          </w:p>
        </w:tc>
        <w:tc>
          <w:tcPr>
            <w:tcW w:w="3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783</w:t>
            </w:r>
          </w:p>
        </w:tc>
        <w:tc>
          <w:tcPr>
            <w:tcW w:w="4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302</w:t>
            </w: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Computers</w:t>
            </w:r>
          </w:p>
        </w:tc>
        <w:tc>
          <w:tcPr>
            <w:tcW w:w="3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215</w:t>
            </w:r>
          </w:p>
        </w:tc>
        <w:tc>
          <w:tcPr>
            <w:tcW w:w="4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1,300</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(545)</w:t>
            </w:r>
          </w:p>
        </w:tc>
        <w:tc>
          <w:tcPr>
            <w:tcW w:w="4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and equipment, net</w:t>
            </w:r>
          </w:p>
        </w:tc>
        <w:tc>
          <w:tcPr>
            <w:tcW w:w="3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755</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Depreciation expense related to property and equipment amounted to $0.3 million and $0.2 million for the years ended December 31, 2019 and 2018, respectively.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Goodwill and intangible assets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 and intangible assets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As of December 31,</w:t>
            </w:r>
          </w:p>
        </w:tc>
      </w:tr>
      <w:tr>
        <w:trPr>
          <w:trHeight w:val="196"/>
        </w:trPr>
        <w:tc>
          <w:tcPr>
            <w:tcW w:w="24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7"/>
                <w:szCs w:val="17"/>
                <w:color w:val="auto"/>
              </w:rPr>
            </w:pPr>
          </w:p>
        </w:tc>
      </w:tr>
      <w:tr>
        <w:trPr>
          <w:trHeight w:val="177"/>
        </w:trPr>
        <w:tc>
          <w:tcPr>
            <w:tcW w:w="2420" w:type="dxa"/>
            <w:vAlign w:val="bottom"/>
          </w:tcPr>
          <w:p>
            <w:pPr>
              <w:spacing w:after="0"/>
              <w:rPr>
                <w:sz w:val="15"/>
                <w:szCs w:val="15"/>
                <w:color w:val="auto"/>
              </w:rPr>
            </w:pPr>
          </w:p>
        </w:tc>
        <w:tc>
          <w:tcPr>
            <w:tcW w:w="920" w:type="dxa"/>
            <w:vAlign w:val="bottom"/>
            <w:tcBorders>
              <w:top w:val="single" w:sz="8" w:color="auto"/>
            </w:tcBorders>
          </w:tcPr>
          <w:p>
            <w:pPr>
              <w:jc w:val="right"/>
              <w:ind w:right="72"/>
              <w:spacing w:after="0" w:line="177" w:lineRule="exact"/>
              <w:rPr>
                <w:sz w:val="20"/>
                <w:szCs w:val="20"/>
                <w:color w:val="auto"/>
              </w:rPr>
            </w:pPr>
            <w:r>
              <w:rPr>
                <w:rFonts w:ascii="Arial" w:cs="Arial" w:eastAsia="Arial" w:hAnsi="Arial"/>
                <w:sz w:val="18"/>
                <w:szCs w:val="18"/>
                <w:b w:val="1"/>
                <w:bCs w:val="1"/>
                <w:color w:val="auto"/>
              </w:rPr>
              <w:t>Useful</w:t>
            </w:r>
          </w:p>
        </w:tc>
        <w:tc>
          <w:tcPr>
            <w:tcW w:w="1000" w:type="dxa"/>
            <w:vAlign w:val="bottom"/>
            <w:tcBorders>
              <w:top w:val="single" w:sz="8" w:color="auto"/>
            </w:tcBorders>
          </w:tcPr>
          <w:p>
            <w:pPr>
              <w:jc w:val="right"/>
              <w:ind w:right="52"/>
              <w:spacing w:after="0" w:line="177" w:lineRule="exact"/>
              <w:rPr>
                <w:sz w:val="20"/>
                <w:szCs w:val="20"/>
                <w:color w:val="auto"/>
              </w:rPr>
            </w:pPr>
            <w:r>
              <w:rPr>
                <w:rFonts w:ascii="Arial" w:cs="Arial" w:eastAsia="Arial" w:hAnsi="Arial"/>
                <w:sz w:val="18"/>
                <w:szCs w:val="18"/>
                <w:b w:val="1"/>
                <w:bCs w:val="1"/>
                <w:color w:val="auto"/>
              </w:rPr>
              <w:t>Gross</w:t>
            </w:r>
          </w:p>
        </w:tc>
        <w:tc>
          <w:tcPr>
            <w:tcW w:w="1480" w:type="dxa"/>
            <w:vAlign w:val="bottom"/>
            <w:tcBorders>
              <w:top w:val="single" w:sz="8" w:color="auto"/>
            </w:tcBorders>
            <w:gridSpan w:val="2"/>
          </w:tcPr>
          <w:p>
            <w:pPr>
              <w:jc w:val="right"/>
              <w:ind w:right="112"/>
              <w:spacing w:after="0" w:line="177" w:lineRule="exact"/>
              <w:rPr>
                <w:sz w:val="20"/>
                <w:szCs w:val="20"/>
                <w:color w:val="auto"/>
              </w:rPr>
            </w:pPr>
            <w:r>
              <w:rPr>
                <w:rFonts w:ascii="Arial" w:cs="Arial" w:eastAsia="Arial" w:hAnsi="Arial"/>
                <w:sz w:val="18"/>
                <w:szCs w:val="18"/>
                <w:b w:val="1"/>
                <w:bCs w:val="1"/>
                <w:color w:val="auto"/>
              </w:rPr>
              <w:t>Accumulated</w:t>
            </w:r>
          </w:p>
        </w:tc>
        <w:tc>
          <w:tcPr>
            <w:tcW w:w="124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Net carrying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jc w:val="right"/>
              <w:ind w:right="72"/>
              <w:spacing w:after="0" w:line="177" w:lineRule="exact"/>
              <w:rPr>
                <w:sz w:val="20"/>
                <w:szCs w:val="20"/>
                <w:color w:val="auto"/>
              </w:rPr>
            </w:pPr>
            <w:r>
              <w:rPr>
                <w:rFonts w:ascii="Arial" w:cs="Arial" w:eastAsia="Arial" w:hAnsi="Arial"/>
                <w:sz w:val="18"/>
                <w:szCs w:val="18"/>
                <w:b w:val="1"/>
                <w:bCs w:val="1"/>
                <w:color w:val="auto"/>
              </w:rPr>
              <w:t>Gross</w:t>
            </w:r>
          </w:p>
        </w:tc>
        <w:tc>
          <w:tcPr>
            <w:tcW w:w="1480" w:type="dxa"/>
            <w:vAlign w:val="bottom"/>
            <w:tcBorders>
              <w:top w:val="single" w:sz="8" w:color="auto"/>
            </w:tcBorders>
            <w:gridSpan w:val="2"/>
          </w:tcPr>
          <w:p>
            <w:pPr>
              <w:jc w:val="right"/>
              <w:ind w:right="112"/>
              <w:spacing w:after="0" w:line="177" w:lineRule="exact"/>
              <w:rPr>
                <w:sz w:val="20"/>
                <w:szCs w:val="20"/>
                <w:color w:val="auto"/>
              </w:rPr>
            </w:pPr>
            <w:r>
              <w:rPr>
                <w:rFonts w:ascii="Arial" w:cs="Arial" w:eastAsia="Arial" w:hAnsi="Arial"/>
                <w:sz w:val="18"/>
                <w:szCs w:val="18"/>
                <w:b w:val="1"/>
                <w:bCs w:val="1"/>
                <w:color w:val="auto"/>
              </w:rPr>
              <w:t>Accumulated</w:t>
            </w:r>
          </w:p>
        </w:tc>
        <w:tc>
          <w:tcPr>
            <w:tcW w:w="124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Net carrying</w:t>
            </w:r>
          </w:p>
        </w:tc>
        <w:tc>
          <w:tcPr>
            <w:tcW w:w="60" w:type="dxa"/>
            <w:vAlign w:val="bottom"/>
          </w:tcPr>
          <w:p>
            <w:pPr>
              <w:spacing w:after="0"/>
              <w:rPr>
                <w:sz w:val="15"/>
                <w:szCs w:val="15"/>
                <w:color w:val="auto"/>
              </w:rPr>
            </w:pPr>
          </w:p>
        </w:tc>
      </w:tr>
      <w:tr>
        <w:trPr>
          <w:trHeight w:val="203"/>
        </w:trPr>
        <w:tc>
          <w:tcPr>
            <w:tcW w:w="2420" w:type="dxa"/>
            <w:vAlign w:val="bottom"/>
          </w:tcPr>
          <w:p>
            <w:pPr>
              <w:spacing w:after="0"/>
              <w:rPr>
                <w:sz w:val="17"/>
                <w:szCs w:val="17"/>
                <w:color w:val="auto"/>
              </w:rPr>
            </w:pP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life</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carrying</w:t>
            </w:r>
          </w:p>
        </w:tc>
        <w:tc>
          <w:tcPr>
            <w:tcW w:w="14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amortization</w:t>
            </w:r>
          </w:p>
        </w:tc>
        <w:tc>
          <w:tcPr>
            <w:tcW w:w="42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w w:val="95"/>
              </w:rPr>
              <w:t>carrying</w:t>
            </w:r>
          </w:p>
        </w:tc>
        <w:tc>
          <w:tcPr>
            <w:tcW w:w="14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amortization</w:t>
            </w:r>
          </w:p>
        </w:tc>
        <w:tc>
          <w:tcPr>
            <w:tcW w:w="4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amount</w:t>
            </w:r>
          </w:p>
        </w:tc>
      </w:tr>
      <w:tr>
        <w:trPr>
          <w:trHeight w:val="221"/>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6"/>
              </w:rPr>
              <w:t>(months)</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amount</w:t>
            </w:r>
          </w:p>
        </w:tc>
        <w:tc>
          <w:tcPr>
            <w:tcW w:w="14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(As restated)</w:t>
            </w: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(As restated)</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amount</w:t>
            </w:r>
          </w:p>
        </w:tc>
        <w:tc>
          <w:tcPr>
            <w:tcW w:w="14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(As restated)</w:t>
            </w: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(As restated)</w:t>
            </w:r>
          </w:p>
        </w:tc>
      </w:tr>
      <w:tr>
        <w:trPr>
          <w:trHeight w:val="199"/>
        </w:trPr>
        <w:tc>
          <w:tcPr>
            <w:tcW w:w="2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Technology and intellectual</w:t>
            </w: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4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property</w:t>
            </w:r>
          </w:p>
        </w:tc>
        <w:tc>
          <w:tcPr>
            <w:tcW w:w="92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60</w:t>
            </w:r>
          </w:p>
        </w:tc>
        <w:tc>
          <w:tcPr>
            <w:tcW w:w="100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$ 32,027</w:t>
            </w:r>
          </w:p>
        </w:tc>
        <w:tc>
          <w:tcPr>
            <w:tcW w:w="4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(32,027)</w:t>
            </w:r>
          </w:p>
        </w:tc>
        <w:tc>
          <w:tcPr>
            <w:tcW w:w="42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$ 32,027</w:t>
            </w:r>
          </w:p>
        </w:tc>
        <w:tc>
          <w:tcPr>
            <w:tcW w:w="480" w:type="dxa"/>
            <w:vAlign w:val="bottom"/>
            <w:shd w:val="clear" w:color="auto" w:fill="CCEEFF"/>
          </w:tcPr>
          <w:p>
            <w:pPr>
              <w:jc w:val="right"/>
              <w:ind w:right="132"/>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(30,557)</w:t>
            </w:r>
          </w:p>
        </w:tc>
        <w:tc>
          <w:tcPr>
            <w:tcW w:w="44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1,470</w:t>
            </w:r>
          </w:p>
        </w:tc>
        <w:tc>
          <w:tcPr>
            <w:tcW w:w="60" w:type="dxa"/>
            <w:vAlign w:val="bottom"/>
            <w:shd w:val="clear" w:color="auto" w:fill="CCEEFF"/>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120</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25,040</w:t>
            </w:r>
          </w:p>
        </w:tc>
        <w:tc>
          <w:tcPr>
            <w:tcW w:w="460" w:type="dxa"/>
            <w:vAlign w:val="bottom"/>
          </w:tcPr>
          <w:p>
            <w:pPr>
              <w:spacing w:after="0"/>
              <w:rPr>
                <w:sz w:val="17"/>
                <w:szCs w:val="17"/>
                <w:color w:val="auto"/>
              </w:rPr>
            </w:pP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(7,094)</w:t>
            </w:r>
          </w:p>
        </w:tc>
        <w:tc>
          <w:tcPr>
            <w:tcW w:w="42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17,946</w:t>
            </w:r>
          </w:p>
        </w:tc>
        <w:tc>
          <w:tcPr>
            <w:tcW w:w="102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25,040</w:t>
            </w:r>
          </w:p>
        </w:tc>
        <w:tc>
          <w:tcPr>
            <w:tcW w:w="48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(4,017)</w:t>
            </w:r>
          </w:p>
        </w:tc>
        <w:tc>
          <w:tcPr>
            <w:tcW w:w="4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21,023</w:t>
            </w:r>
          </w:p>
        </w:tc>
        <w:tc>
          <w:tcPr>
            <w:tcW w:w="60" w:type="dxa"/>
            <w:vAlign w:val="bottom"/>
          </w:tcPr>
          <w:p>
            <w:pPr>
              <w:spacing w:after="0"/>
              <w:rPr>
                <w:sz w:val="17"/>
                <w:szCs w:val="17"/>
                <w:color w:val="auto"/>
              </w:rPr>
            </w:pPr>
          </w:p>
        </w:tc>
      </w:tr>
      <w:tr>
        <w:trPr>
          <w:trHeight w:val="206"/>
        </w:trPr>
        <w:tc>
          <w:tcPr>
            <w:tcW w:w="2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Costs to acquire third party</w:t>
            </w: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4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publishers</w:t>
            </w:r>
          </w:p>
        </w:tc>
        <w:tc>
          <w:tcPr>
            <w:tcW w:w="92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24</w:t>
            </w:r>
          </w:p>
        </w:tc>
        <w:tc>
          <w:tcPr>
            <w:tcW w:w="100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1,363</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(1,363)</w:t>
            </w:r>
          </w:p>
        </w:tc>
        <w:tc>
          <w:tcPr>
            <w:tcW w:w="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1,363</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(852)</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60</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303</w:t>
            </w:r>
          </w:p>
        </w:tc>
        <w:tc>
          <w:tcPr>
            <w:tcW w:w="460" w:type="dxa"/>
            <w:vAlign w:val="bottom"/>
          </w:tcPr>
          <w:p>
            <w:pPr>
              <w:spacing w:after="0"/>
              <w:rPr>
                <w:sz w:val="17"/>
                <w:szCs w:val="17"/>
                <w:color w:val="auto"/>
              </w:rPr>
            </w:pP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(155)</w:t>
            </w:r>
          </w:p>
        </w:tc>
        <w:tc>
          <w:tcPr>
            <w:tcW w:w="4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160" w:type="dxa"/>
            <w:vAlign w:val="bottom"/>
          </w:tcPr>
          <w:p>
            <w:pPr>
              <w:spacing w:after="0"/>
              <w:rPr>
                <w:sz w:val="17"/>
                <w:szCs w:val="17"/>
                <w:color w:val="auto"/>
              </w:rPr>
            </w:pPr>
          </w:p>
        </w:tc>
        <w:tc>
          <w:tcPr>
            <w:tcW w:w="102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303</w:t>
            </w:r>
          </w:p>
        </w:tc>
        <w:tc>
          <w:tcPr>
            <w:tcW w:w="48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(86)</w:t>
            </w:r>
          </w:p>
        </w:tc>
        <w:tc>
          <w:tcPr>
            <w:tcW w:w="4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60" w:type="dxa"/>
            <w:vAlign w:val="bottom"/>
          </w:tcPr>
          <w:p>
            <w:pPr>
              <w:spacing w:after="0"/>
              <w:rPr>
                <w:sz w:val="17"/>
                <w:szCs w:val="17"/>
                <w:color w:val="auto"/>
              </w:rPr>
            </w:pPr>
          </w:p>
        </w:tc>
      </w:tr>
      <w:tr>
        <w:trPr>
          <w:trHeight w:val="203"/>
        </w:trPr>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Domain names</w:t>
            </w:r>
          </w:p>
        </w:tc>
        <w:tc>
          <w:tcPr>
            <w:tcW w:w="92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60</w:t>
            </w:r>
          </w:p>
        </w:tc>
        <w:tc>
          <w:tcPr>
            <w:tcW w:w="10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1,224</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(566)</w:t>
            </w: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1,077</w:t>
            </w: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(313)</w:t>
            </w: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7"/>
                <w:szCs w:val="17"/>
                <w:color w:val="auto"/>
              </w:rPr>
            </w:pPr>
          </w:p>
        </w:tc>
      </w:tr>
      <w:tr>
        <w:trPr>
          <w:trHeight w:val="210"/>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59,957</w:t>
            </w:r>
          </w:p>
        </w:tc>
        <w:tc>
          <w:tcPr>
            <w:tcW w:w="4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(41,205)</w:t>
            </w:r>
          </w:p>
        </w:tc>
        <w:tc>
          <w:tcPr>
            <w:tcW w:w="4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18,752</w:t>
            </w: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59,810</w:t>
            </w:r>
          </w:p>
        </w:tc>
        <w:tc>
          <w:tcPr>
            <w:tcW w:w="4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(35,825)</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23,985</w:t>
            </w:r>
          </w:p>
        </w:tc>
        <w:tc>
          <w:tcPr>
            <w:tcW w:w="60" w:type="dxa"/>
            <w:vAlign w:val="bottom"/>
          </w:tcPr>
          <w:p>
            <w:pPr>
              <w:spacing w:after="0"/>
              <w:rPr>
                <w:sz w:val="18"/>
                <w:szCs w:val="18"/>
                <w:color w:val="auto"/>
              </w:rPr>
            </w:pPr>
          </w:p>
        </w:tc>
      </w:tr>
      <w:tr>
        <w:trPr>
          <w:trHeight w:val="203"/>
        </w:trPr>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18,402</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18,402</w:t>
            </w:r>
          </w:p>
        </w:tc>
        <w:tc>
          <w:tcPr>
            <w:tcW w:w="102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18,402</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18,402</w:t>
            </w:r>
          </w:p>
        </w:tc>
        <w:tc>
          <w:tcPr>
            <w:tcW w:w="60" w:type="dxa"/>
            <w:vAlign w:val="bottom"/>
            <w:shd w:val="clear" w:color="auto" w:fill="CCEEFF"/>
          </w:tcPr>
          <w:p>
            <w:pPr>
              <w:spacing w:after="0"/>
              <w:rPr>
                <w:sz w:val="17"/>
                <w:szCs w:val="17"/>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Amortization expense related to intangible assets amounted to $5.4 million for the year ended December 31, 2019 and $11.8 million for the year ended December 31, 2018. We have no accumulated impairments of goodwill.</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change in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59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77"/>
        </w:trPr>
        <w:tc>
          <w:tcPr>
            <w:tcW w:w="5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192"/>
              <w:spacing w:after="0" w:line="177" w:lineRule="exact"/>
              <w:rPr>
                <w:sz w:val="20"/>
                <w:szCs w:val="20"/>
                <w:color w:val="auto"/>
              </w:rPr>
            </w:pPr>
            <w:r>
              <w:rPr>
                <w:rFonts w:ascii="Arial" w:cs="Arial" w:eastAsia="Arial" w:hAnsi="Arial"/>
                <w:sz w:val="18"/>
                <w:szCs w:val="18"/>
                <w:b w:val="1"/>
                <w:bCs w:val="1"/>
                <w:color w:val="auto"/>
              </w:rPr>
              <w:t>Intangible</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jc w:val="right"/>
              <w:ind w:right="120"/>
              <w:spacing w:after="0" w:line="177" w:lineRule="exact"/>
              <w:rPr>
                <w:sz w:val="20"/>
                <w:szCs w:val="20"/>
                <w:color w:val="auto"/>
              </w:rPr>
            </w:pPr>
            <w:r>
              <w:rPr>
                <w:rFonts w:ascii="Arial" w:cs="Arial" w:eastAsia="Arial" w:hAnsi="Arial"/>
                <w:sz w:val="18"/>
                <w:szCs w:val="18"/>
                <w:b w:val="1"/>
                <w:bCs w:val="1"/>
                <w:color w:val="auto"/>
              </w:rPr>
              <w:t>Intangible</w:t>
            </w:r>
          </w:p>
        </w:tc>
      </w:tr>
      <w:tr>
        <w:trPr>
          <w:trHeight w:val="221"/>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Goodwill</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Goodwill</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assets</w:t>
            </w:r>
          </w:p>
        </w:tc>
      </w:tr>
      <w:tr>
        <w:trPr>
          <w:trHeight w:val="196"/>
        </w:trPr>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gridSpan w:val="2"/>
          </w:tcPr>
          <w:p>
            <w:pPr>
              <w:jc w:val="right"/>
              <w:ind w:right="192"/>
              <w:spacing w:after="0" w:line="196" w:lineRule="exact"/>
              <w:rPr>
                <w:sz w:val="20"/>
                <w:szCs w:val="20"/>
                <w:color w:val="auto"/>
              </w:rPr>
            </w:pPr>
            <w:r>
              <w:rPr>
                <w:rFonts w:ascii="Arial" w:cs="Arial" w:eastAsia="Arial" w:hAnsi="Arial"/>
                <w:sz w:val="18"/>
                <w:szCs w:val="18"/>
                <w:b w:val="1"/>
                <w:bCs w:val="1"/>
                <w:color w:val="auto"/>
              </w:rPr>
              <w:t>(As restated)</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(As restated)</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Beginning balance at January 1,</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18,402</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23,985</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18,402</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35,744</w:t>
            </w:r>
          </w:p>
        </w:tc>
        <w:tc>
          <w:tcPr>
            <w:tcW w:w="12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Additions to goodwill and intangible assets</w:t>
            </w:r>
          </w:p>
        </w:tc>
        <w:tc>
          <w:tcPr>
            <w:tcW w:w="16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148</w:t>
            </w:r>
          </w:p>
        </w:tc>
        <w:tc>
          <w:tcPr>
            <w:tcW w:w="3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(5,381)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(11,769)</w:t>
            </w:r>
          </w:p>
        </w:tc>
      </w:tr>
      <w:tr>
        <w:trPr>
          <w:trHeight w:val="222"/>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Ending balance at December 31,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18,402</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18,752</w:t>
            </w:r>
          </w:p>
        </w:tc>
        <w:tc>
          <w:tcPr>
            <w:tcW w:w="3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18,402</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23,985</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As of December 31, 2019, future amortization expense on identifiable intangible assets with estimable useful lives over the next five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8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r>
      <w:tr>
        <w:trPr>
          <w:trHeight w:val="221"/>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expense</w:t>
            </w:r>
          </w:p>
        </w:tc>
      </w:tr>
      <w:tr>
        <w:trPr>
          <w:trHeight w:val="196"/>
        </w:trPr>
        <w:tc>
          <w:tcPr>
            <w:tcW w:w="9880" w:type="dxa"/>
            <w:vAlign w:val="bottom"/>
          </w:tcPr>
          <w:p>
            <w:pPr>
              <w:spacing w:after="0"/>
              <w:rPr>
                <w:sz w:val="17"/>
                <w:szCs w:val="17"/>
                <w:color w:val="auto"/>
              </w:rPr>
            </w:pPr>
          </w:p>
        </w:tc>
        <w:tc>
          <w:tcPr>
            <w:tcW w:w="11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(As restated)</w:t>
            </w: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3,191</w:t>
            </w: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2,986</w:t>
            </w:r>
          </w:p>
        </w:tc>
      </w:tr>
      <w:tr>
        <w:trPr>
          <w:trHeight w:val="202"/>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2,733</w:t>
            </w: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2,389</w:t>
            </w: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2,211</w:t>
            </w:r>
          </w:p>
        </w:tc>
      </w:tr>
      <w:tr>
        <w:trPr>
          <w:trHeight w:val="210"/>
        </w:trPr>
        <w:tc>
          <w:tcPr>
            <w:tcW w:w="98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5,242</w:t>
            </w:r>
          </w:p>
        </w:tc>
        <w:tc>
          <w:tcPr>
            <w:tcW w:w="6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18,752</w:t>
            </w:r>
          </w:p>
        </w:tc>
      </w:tr>
      <w:tr>
        <w:trPr>
          <w:trHeight w:val="20"/>
        </w:trPr>
        <w:tc>
          <w:tcPr>
            <w:tcW w:w="9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Accrued expenses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19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96"/>
        </w:trPr>
        <w:tc>
          <w:tcPr>
            <w:tcW w:w="8800" w:type="dxa"/>
            <w:vAlign w:val="bottom"/>
            <w:tcBorders>
              <w:bottom w:val="single" w:sz="8" w:color="auto"/>
            </w:tcBorders>
            <w:vMerge w:val="continue"/>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expenses</w:t>
            </w:r>
          </w:p>
        </w:tc>
        <w:tc>
          <w:tcPr>
            <w:tcW w:w="3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4,954</w:t>
            </w:r>
          </w:p>
        </w:tc>
        <w:tc>
          <w:tcPr>
            <w:tcW w:w="4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02"/>
        </w:trPr>
        <w:tc>
          <w:tcPr>
            <w:tcW w:w="8800" w:type="dxa"/>
            <w:vAlign w:val="bottom"/>
          </w:tcPr>
          <w:p>
            <w:pPr>
              <w:spacing w:after="0" w:line="202" w:lineRule="exact"/>
              <w:rPr>
                <w:sz w:val="20"/>
                <w:szCs w:val="20"/>
                <w:color w:val="auto"/>
              </w:rPr>
            </w:pPr>
            <w:r>
              <w:rPr>
                <w:rFonts w:ascii="Arial" w:cs="Arial" w:eastAsia="Arial" w:hAnsi="Arial"/>
                <w:sz w:val="18"/>
                <w:szCs w:val="18"/>
                <w:color w:val="auto"/>
              </w:rPr>
              <w:t>Accrued operating expenses</w:t>
            </w:r>
          </w:p>
        </w:tc>
        <w:tc>
          <w:tcPr>
            <w:tcW w:w="30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754</w:t>
            </w:r>
          </w:p>
        </w:tc>
        <w:tc>
          <w:tcPr>
            <w:tcW w:w="4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824</w:t>
            </w:r>
          </w:p>
        </w:tc>
        <w:tc>
          <w:tcPr>
            <w:tcW w:w="4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accrued expenses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6,532</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Long-term debt</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Revolver and Term Loan</w:t>
      </w:r>
    </w:p>
    <w:p>
      <w:pPr>
        <w:spacing w:after="0" w:line="124" w:lineRule="exact"/>
        <w:rPr>
          <w:sz w:val="20"/>
          <w:szCs w:val="20"/>
          <w:color w:val="auto"/>
        </w:rPr>
      </w:pPr>
    </w:p>
    <w:p>
      <w:pPr>
        <w:ind w:left="120" w:right="240"/>
        <w:spacing w:after="0" w:line="275" w:lineRule="auto"/>
        <w:rPr>
          <w:sz w:val="20"/>
          <w:szCs w:val="20"/>
          <w:color w:val="auto"/>
        </w:rPr>
      </w:pPr>
      <w:r>
        <w:rPr>
          <w:rFonts w:ascii="Arial" w:cs="Arial" w:eastAsia="Arial" w:hAnsi="Arial"/>
          <w:sz w:val="16"/>
          <w:szCs w:val="16"/>
          <w:color w:val="auto"/>
        </w:rPr>
        <w:t>In October 2017, the Company entered into an amendment to the credit facility with Bridge Bank comprised of (a) a term loan in an initial principal amount of $18.4 million (the “2017 Term Loan Facility”) and (b) a revolving line of credit of up to $10.0 million (the “2017 Revolving Credit Facility” and, collectively with the 2017 Term Loan Facility, the “2017 Credit Facilities”). Proceeds from the $18.4 million 2017 Term Loan Facility were used to pay off the existing term loan with Bridge Bank and fund a prior acquisition. The 2017 Term Loan Facility and</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2017 Revolving Credit Facility had maturity dates of October 6, 2022 and October 10, 2020, respectively. The 2017 Term Loan Facility was repayable beginning on November 2017 in 60 monthly installments through October 2022 and accrued interest at annual rate of 1.50% above the prime rate. The 2017 Revolving Credit Facility bore interest at an annual rate of 0.25% above the prime rate. The 2017 Credit Facilities were collateralized by substantially all of the Company’s assets and contained certain financial covenants. These financial covenants included a minimum Fixed Charge Coverage Ratio and Asset Coverage Ratio.</w:t>
      </w:r>
    </w:p>
    <w:p>
      <w:pPr>
        <w:spacing w:after="0" w:line="103"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As of December 31, 2018, the Company had no outstanding amount drawn on the 2017 Revolving Credit Facility and $14.3 million outstanding, net of deferred debt issuance costs of $0.1 million, on the 2017 Term Loan Facility, of which $1.2 million was classified within current portion of long-term debt and $13.1 million was classified within long-term debt, net of current portion.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Revolver and Term Loan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QL, as the borrower, and QLH, as the guarantor, entered into a new secured credit facility on February 26, 2019 with Monroe Capital. The new credit facility is comprised of (a) a term loan in an initial principal amount of $100.0 million (“2019 Term Loan Facility”) and (b) a revolving line of credit of up to $5.0 million (“2019 Revolving Credit Facility” and, collectively with the 2019 Term Loan Facility, the “2019 Credit Facilities”). Proceeds from the $100.0 million 2019 Term Loan Facility were used to (i) repay the 2017 Term Loan Facility in full, (ii) pay a cash dividend to QLH Class A Unit Holders and certain QLH Class B Unit Holders, (iii) pay transaction expenses, and (iv) fund the redemption of certain QLH Class A and Class B Unit Holders for cash.</w:t>
      </w:r>
    </w:p>
    <w:p>
      <w:pPr>
        <w:spacing w:after="0" w:line="102"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On June 12, 2019, QL, as the borrower, and QLH, as the guarantor, executed an amendment to the 2019 Credit Facilities to bring City National Bank on as a lender. Monroe Capital assigned $25.0 million of the 2019 Term Loan Facility and the entire $5.0 million of the 2019 Revolving Credit Facility to City National Bank. In connection with the assignment of the debt, the applicable margin on borrowings was reduced from LIBOR plus 5.50% to LIBOR plus 4.85% and the Company incurred $0.2 million of debt issuance costs. This amendment was accounted for as a modification to the 2019 Credit Facilities.</w:t>
      </w:r>
    </w:p>
    <w:p>
      <w:pPr>
        <w:spacing w:after="0" w:line="10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2019 Credit Facilities are collateralized by substantially all of the Company’s assets and contain certain financial and non-financial covenants. The financial covenants include a minimum Fixed Charge Coverage Ratio and a maximum Net Debt to EBITDA Ratio (in each case, as defined in the 2019 Credit Facilities). Non-financial covenants include restrictions on permitted equity repurchases, acquisitions and incurrences of debt.</w:t>
      </w:r>
    </w:p>
    <w:p>
      <w:pPr>
        <w:spacing w:after="0" w:line="100"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The 2019 Revolving Credit Facility has a maturity date of June 13, 2022, subject to an extension of the termination date, at which time all outstanding borrowings are due. The 2019 Term Loan Facility has a maturity date of February 26, 2025, at which time all outstanding borrowings and accrued interest are due. The 2019 Term Loan Facility amortizes at a level rate of $250,000 per quarter, starting on June 30, 2019. Additionally, the 2019 Term Loan Facility requires a mandatory debt repayment based on an excess cash flow calculation performed annually (“Excess Cash Flow Sweep”). The percentage of excess cash flow to be repaid declines based on the Net Debt to EBITDA ratio. When the Net Debt to EBITDA ratio is less than 2.00 to 1.00, the percentage of excess cash flow will be 25% and otherwise, 50%. The Excess Cash Flow Sweep for the period ending December 31, 2019 totaled $0.3 million and was paid on March 17, 2020.</w:t>
      </w:r>
    </w:p>
    <w:p>
      <w:pPr>
        <w:spacing w:after="0" w:line="82" w:lineRule="exact"/>
        <w:rPr>
          <w:sz w:val="20"/>
          <w:szCs w:val="20"/>
          <w:color w:val="auto"/>
        </w:rPr>
      </w:pPr>
    </w:p>
    <w:p>
      <w:pPr>
        <w:ind w:left="120" w:right="840"/>
        <w:spacing w:after="0" w:line="239" w:lineRule="auto"/>
        <w:rPr>
          <w:sz w:val="20"/>
          <w:szCs w:val="20"/>
          <w:color w:val="auto"/>
        </w:rPr>
      </w:pPr>
      <w:r>
        <w:rPr>
          <w:rFonts w:ascii="Arial" w:cs="Arial" w:eastAsia="Arial" w:hAnsi="Arial"/>
          <w:sz w:val="18"/>
          <w:szCs w:val="18"/>
          <w:color w:val="auto"/>
        </w:rPr>
        <w:t>As of December 31, 2019, the Company had no outstanding amount drawn on the 2019 Revolving Credit Facility and $97.5 million outstanding, net of deferred debt issuance costs of $1.7 million, on the 2019 Term Loan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Facility, of which $0.9 million was classified within current portion of long-term debt and $96.7 million was classified within long-term debt, net of current portion.</w:t>
      </w:r>
    </w:p>
    <w:p>
      <w:pPr>
        <w:spacing w:after="0" w:line="101"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The 2019 Credit Facilities bear interest at a rate equal to LIBOR plus 4.85% on borrowings. The expected future principal payments for all borrowings as of December 31, 2019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Contractual</w:t>
            </w:r>
          </w:p>
        </w:tc>
      </w:tr>
      <w:tr>
        <w:trPr>
          <w:trHeight w:val="221"/>
        </w:trPr>
        <w:tc>
          <w:tcPr>
            <w:tcW w:w="9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maturity</w:t>
            </w:r>
          </w:p>
        </w:tc>
      </w:tr>
      <w:tr>
        <w:trPr>
          <w:trHeight w:val="226"/>
        </w:trPr>
        <w:tc>
          <w:tcPr>
            <w:tcW w:w="982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6"/>
              </w:rPr>
              <w:t>(As restated)</w:t>
            </w:r>
          </w:p>
        </w:tc>
      </w:tr>
      <w:tr>
        <w:trPr>
          <w:trHeight w:val="37"/>
        </w:trPr>
        <w:tc>
          <w:tcPr>
            <w:tcW w:w="9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9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82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1,312</w:t>
            </w:r>
          </w:p>
        </w:tc>
        <w:tc>
          <w:tcPr>
            <w:tcW w:w="120" w:type="dxa"/>
            <w:vAlign w:val="bottom"/>
          </w:tcPr>
          <w:p>
            <w:pPr>
              <w:spacing w:after="0"/>
              <w:rPr>
                <w:sz w:val="17"/>
                <w:szCs w:val="17"/>
                <w:color w:val="auto"/>
              </w:rPr>
            </w:pPr>
          </w:p>
        </w:tc>
      </w:tr>
      <w:tr>
        <w:trPr>
          <w:trHeight w:val="203"/>
        </w:trPr>
        <w:tc>
          <w:tcPr>
            <w:tcW w:w="9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7"/>
                <w:szCs w:val="17"/>
                <w:color w:val="auto"/>
              </w:rPr>
            </w:pPr>
          </w:p>
        </w:tc>
      </w:tr>
      <w:tr>
        <w:trPr>
          <w:trHeight w:val="203"/>
        </w:trPr>
        <w:tc>
          <w:tcPr>
            <w:tcW w:w="982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r>
      <w:tr>
        <w:trPr>
          <w:trHeight w:val="203"/>
        </w:trPr>
        <w:tc>
          <w:tcPr>
            <w:tcW w:w="9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7"/>
                <w:szCs w:val="17"/>
                <w:color w:val="auto"/>
              </w:rPr>
            </w:pPr>
          </w:p>
        </w:tc>
      </w:tr>
      <w:tr>
        <w:trPr>
          <w:trHeight w:val="203"/>
        </w:trPr>
        <w:tc>
          <w:tcPr>
            <w:tcW w:w="982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r>
      <w:tr>
        <w:trPr>
          <w:trHeight w:val="203"/>
        </w:trPr>
        <w:tc>
          <w:tcPr>
            <w:tcW w:w="9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93,936</w:t>
            </w:r>
          </w:p>
        </w:tc>
        <w:tc>
          <w:tcPr>
            <w:tcW w:w="120" w:type="dxa"/>
            <w:vAlign w:val="bottom"/>
            <w:shd w:val="clear" w:color="auto" w:fill="CCEEFF"/>
          </w:tcPr>
          <w:p>
            <w:pPr>
              <w:spacing w:after="0"/>
              <w:rPr>
                <w:sz w:val="17"/>
                <w:szCs w:val="17"/>
                <w:color w:val="auto"/>
              </w:rPr>
            </w:pPr>
          </w:p>
        </w:tc>
      </w:tr>
      <w:tr>
        <w:trPr>
          <w:trHeight w:val="210"/>
        </w:trPr>
        <w:tc>
          <w:tcPr>
            <w:tcW w:w="9820" w:type="dxa"/>
            <w:vAlign w:val="bottom"/>
          </w:tcPr>
          <w:p>
            <w:pPr>
              <w:spacing w:after="0"/>
              <w:rPr>
                <w:sz w:val="20"/>
                <w:szCs w:val="20"/>
                <w:color w:val="auto"/>
              </w:rPr>
            </w:pPr>
            <w:r>
              <w:rPr>
                <w:rFonts w:ascii="Arial" w:cs="Arial" w:eastAsia="Arial" w:hAnsi="Arial"/>
                <w:sz w:val="18"/>
                <w:szCs w:val="18"/>
                <w:color w:val="auto"/>
              </w:rPr>
              <w:t>Debt and issuance costs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99,248</w:t>
            </w:r>
          </w:p>
        </w:tc>
        <w:tc>
          <w:tcPr>
            <w:tcW w:w="120" w:type="dxa"/>
            <w:vAlign w:val="bottom"/>
          </w:tcPr>
          <w:p>
            <w:pPr>
              <w:spacing w:after="0"/>
              <w:rPr>
                <w:sz w:val="18"/>
                <w:szCs w:val="18"/>
                <w:color w:val="auto"/>
              </w:rPr>
            </w:pPr>
          </w:p>
        </w:tc>
      </w:tr>
      <w:tr>
        <w:trPr>
          <w:trHeight w:val="203"/>
        </w:trPr>
        <w:tc>
          <w:tcPr>
            <w:tcW w:w="9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debt issuance costs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(1,710)</w:t>
            </w:r>
          </w:p>
        </w:tc>
      </w:tr>
      <w:tr>
        <w:trPr>
          <w:trHeight w:val="222"/>
        </w:trPr>
        <w:tc>
          <w:tcPr>
            <w:tcW w:w="9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long 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97,538</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The Company incurred interest expense of $7.0 million and $1.2 million during the years ended December 31, 2019 and 2018, respectively. Included in interest expense is $0.6 million and $0.0 million of amortization of debt issuance costs during the years ended December 31, 2019 and 2018, respectively. As of December 31, 2019, unamortized deferred debt issuance costs amounted to $1.7 million compared to $0.1 million as of December 31, 2018. Accrued interest was less than $0.1 million as of December 31, 2019 and 2018, respectively.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Commitments and contingencies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is obligated under certain non-cancellable operating leases for its facilities, which expire on various dates through 2027. Certain facility leases contain predetermined fixed escalation of minimum rents. The Company recognizes rent expense on a straight-line basis for these leases and records the difference between recognized rental expense and the amounts payable under the lease agreement as deferred rent. The deferred rent liability was $0.4 million and $0.5 million as of December 31, 2019 and 2018, respectively. Total rental expense amounted to $0.5 million and $0.4 million for the years ended December 31, 2019 and 2018, respectively, and is recorded in operating expenses in the consolidated statements of operations.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880" w:type="dxa"/>
            <w:vAlign w:val="bottom"/>
          </w:tcPr>
          <w:p>
            <w:pPr>
              <w:ind w:left="3720"/>
              <w:spacing w:after="0"/>
              <w:rPr>
                <w:sz w:val="20"/>
                <w:szCs w:val="20"/>
                <w:color w:val="auto"/>
              </w:rPr>
            </w:pPr>
            <w:r>
              <w:rPr>
                <w:rFonts w:ascii="Arial" w:cs="Arial" w:eastAsia="Arial" w:hAnsi="Arial"/>
                <w:sz w:val="18"/>
                <w:szCs w:val="18"/>
                <w:b w:val="1"/>
                <w:bCs w:val="1"/>
                <w:color w:val="auto"/>
              </w:rPr>
              <w:t>CONFIDENTIAL TREATMENT REQUESTED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9880" w:type="dxa"/>
            <w:vAlign w:val="bottom"/>
          </w:tcPr>
          <w:p>
            <w:pPr>
              <w:ind w:left="3780"/>
              <w:spacing w:after="0"/>
              <w:rPr>
                <w:sz w:val="20"/>
                <w:szCs w:val="20"/>
                <w:color w:val="auto"/>
              </w:rPr>
            </w:pPr>
            <w:r>
              <w:rPr>
                <w:rFonts w:ascii="Arial" w:cs="Arial" w:eastAsia="Arial" w:hAnsi="Arial"/>
                <w:sz w:val="18"/>
                <w:szCs w:val="18"/>
                <w:b w:val="1"/>
                <w:bCs w:val="1"/>
                <w:color w:val="auto"/>
              </w:rPr>
              <w:t>PURSUANT TO 17 C.F.R. SECTION 200.83</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9880" w:type="dxa"/>
            <w:vAlign w:val="bottom"/>
          </w:tcPr>
          <w:p>
            <w:pPr>
              <w:spacing w:after="0"/>
              <w:rPr>
                <w:sz w:val="20"/>
                <w:szCs w:val="20"/>
                <w:color w:val="auto"/>
              </w:rPr>
            </w:pPr>
            <w:r>
              <w:rPr>
                <w:rFonts w:ascii="Arial" w:cs="Arial" w:eastAsia="Arial" w:hAnsi="Arial"/>
                <w:sz w:val="32"/>
                <w:szCs w:val="32"/>
                <w:b w:val="1"/>
                <w:bCs w:val="1"/>
                <w:color w:val="auto"/>
              </w:rPr>
              <w:t>QL Holdings LLC and subsidiaries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9"/>
        </w:trPr>
        <w:tc>
          <w:tcPr>
            <w:tcW w:w="9880" w:type="dxa"/>
            <w:vAlign w:val="bottom"/>
          </w:tcPr>
          <w:p>
            <w:pPr>
              <w:spacing w:after="0"/>
              <w:rPr>
                <w:sz w:val="20"/>
                <w:szCs w:val="20"/>
                <w:color w:val="auto"/>
              </w:rPr>
            </w:pPr>
            <w:r>
              <w:rPr>
                <w:rFonts w:ascii="Arial" w:cs="Arial" w:eastAsia="Arial" w:hAnsi="Arial"/>
                <w:sz w:val="32"/>
                <w:szCs w:val="32"/>
                <w:b w:val="1"/>
                <w:bCs w:val="1"/>
                <w:color w:val="auto"/>
              </w:rPr>
              <w:t>Notes to consolidated financial statements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0"/>
        </w:trPr>
        <w:tc>
          <w:tcPr>
            <w:tcW w:w="9880" w:type="dxa"/>
            <w:vAlign w:val="bottom"/>
          </w:tcPr>
          <w:p>
            <w:pPr>
              <w:spacing w:after="0"/>
              <w:rPr>
                <w:sz w:val="20"/>
                <w:szCs w:val="20"/>
                <w:color w:val="auto"/>
              </w:rPr>
            </w:pPr>
            <w:r>
              <w:rPr>
                <w:rFonts w:ascii="Arial" w:cs="Arial" w:eastAsia="Arial" w:hAnsi="Arial"/>
                <w:sz w:val="18"/>
                <w:szCs w:val="18"/>
                <w:color w:val="auto"/>
              </w:rPr>
              <w:t>Future minimum lease payments under the non-cancellable leases are as follows: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9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spacing w:after="0"/>
              <w:rPr>
                <w:sz w:val="10"/>
                <w:szCs w:val="10"/>
                <w:color w:val="auto"/>
              </w:rPr>
            </w:pPr>
          </w:p>
        </w:tc>
      </w:tr>
      <w:tr>
        <w:trPr>
          <w:trHeight w:val="224"/>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Rent</w:t>
            </w:r>
          </w:p>
        </w:tc>
      </w:tr>
      <w:tr>
        <w:trPr>
          <w:trHeight w:val="221"/>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payments</w:t>
            </w:r>
          </w:p>
        </w:tc>
      </w:tr>
      <w:tr>
        <w:trPr>
          <w:trHeight w:val="226"/>
        </w:trPr>
        <w:tc>
          <w:tcPr>
            <w:tcW w:w="988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(As restated)</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60" w:type="dxa"/>
            <w:vAlign w:val="bottom"/>
          </w:tcPr>
          <w:p>
            <w:pPr>
              <w:spacing w:after="0"/>
              <w:rPr>
                <w:sz w:val="17"/>
                <w:szCs w:val="17"/>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7"/>
                <w:szCs w:val="17"/>
                <w:color w:val="auto"/>
              </w:rPr>
            </w:pP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555</w:t>
            </w:r>
          </w:p>
        </w:tc>
        <w:tc>
          <w:tcPr>
            <w:tcW w:w="60" w:type="dxa"/>
            <w:vAlign w:val="bottom"/>
          </w:tcPr>
          <w:p>
            <w:pPr>
              <w:spacing w:after="0"/>
              <w:rPr>
                <w:sz w:val="17"/>
                <w:szCs w:val="17"/>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7"/>
                <w:szCs w:val="17"/>
                <w:color w:val="auto"/>
              </w:rPr>
            </w:pP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60" w:type="dxa"/>
            <w:vAlign w:val="bottom"/>
          </w:tcPr>
          <w:p>
            <w:pPr>
              <w:spacing w:after="0"/>
              <w:rPr>
                <w:sz w:val="17"/>
                <w:szCs w:val="17"/>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1,174</w:t>
            </w:r>
          </w:p>
        </w:tc>
        <w:tc>
          <w:tcPr>
            <w:tcW w:w="60" w:type="dxa"/>
            <w:vAlign w:val="bottom"/>
            <w:shd w:val="clear" w:color="auto" w:fill="CCEEFF"/>
          </w:tcPr>
          <w:p>
            <w:pPr>
              <w:spacing w:after="0"/>
              <w:rPr>
                <w:sz w:val="17"/>
                <w:szCs w:val="17"/>
                <w:color w:val="auto"/>
              </w:rPr>
            </w:pPr>
          </w:p>
        </w:tc>
      </w:tr>
      <w:tr>
        <w:trPr>
          <w:trHeight w:val="222"/>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60" w:type="dxa"/>
            <w:vAlign w:val="bottom"/>
          </w:tcPr>
          <w:p>
            <w:pPr>
              <w:spacing w:after="0"/>
              <w:rPr>
                <w:sz w:val="19"/>
                <w:szCs w:val="19"/>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24"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The Company is subject to certain legal proceedings and claims that arise in the normal course of business. In the opinion of management, the Company does not believe that the amount of liability, if any, as a result of these proceedings and claims will have a materially adverse effect on the Company’s consolidated financial position, results of operations, and cash flows. As of December 31, 2019 and 2018, the Company does not have any contingency reserves established for any litigation liabilities.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Redeemable Class A units and members’ (deficit) equity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issued, and outstanding units</w:t>
      </w:r>
    </w:p>
    <w:p>
      <w:pPr>
        <w:spacing w:after="0" w:line="12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As of December 31, 2019, there are 1,136,842 Class A units authorized, issued, and outstanding, and 169,943 Class B units authorized with 163,800 units issued, of which 51,377 units are vested and outstanding.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Class A units</w:t>
      </w:r>
    </w:p>
    <w:p>
      <w:pPr>
        <w:spacing w:after="0" w:line="124"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QLH’s Class A units that are held by ICG feature a redemption right that are considered to be outside of the Company’s control. The key terms and conditions of this redemption right are as follows.</w:t>
      </w:r>
    </w:p>
    <w:p>
      <w:pPr>
        <w:spacing w:after="0" w:line="10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redemption right may be exercised on three dates which are on the fifth, seventh and ninth anniversary of Insignia Recapitalization of February 26, 2019 and must be settled by the Company no later than one year from the exercise date. The redemption may only be exercised on all of ICG’s Class A units at once. At settlement, the Company must pay an amount of cash equal to the Class A redemption value (as defined in the third amended and restated limited liability company agreement). The Company may, instead of settling the redemption right as noted above on or prior to the settlement date, engage a nationally recognized investment banking firm to conduct a marketing process with respect to a sale of the Company, on or prior to the settlement date. In the event that the Company enters into a binding definitive agreement with respect to a sale of the Company, ICG will be entitled to receive an amount in full exchange for all of the Class A units equal to the aggregate amount of the Class A redemption value (as defined in the third amended and restated limited liability company agreement) on the date the sale is consummated, based on the Class A redemption value (as defined in the third amended and restated limited liability company agreement) for the Company and its subsidiaries, taken as a whole based on the transaction value ascribed to the Company and its subsidiaries.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If the Company enters into a binding definitive agreement to consummate a Liquidation Event (as defined in the third amended and restated limited liability company agreement—including, for example a qualified offering of the Company’s stock) that would not otherwise result in the sale, lease, transfer, or other disposition of all or substantially all of the Company’s assets or the sale, transfer or other disposition of all of ICG’s Class A units, ICG will have the right, to elect to sell, transfer or otherwise dispose of all of the Class A units held by ICG in the Liquidation Event by electing to participate in the Liquidation Event within 10 business days of receiving notice by the Company of the Liquidation Event. Upon the consummation of the Liquidation Event, ICG will be entitled to receive an amount in respect of its entire Class A units based on the transaction value ascribed to the Company and its subsidiaries in such Liquidation Event. In the event that ICG elects to participate in the Liquidation Event, and the Liquidation Event does not otherwise result in the sale, transfer, or other disposition of all of ICG’s Class A units, the redemption right on any remaining Class A units continuing to be held by ICG will be cancelled for no further consideration.</w:t>
      </w:r>
    </w:p>
    <w:p>
      <w:pPr>
        <w:spacing w:after="0" w:line="81"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If the redemption right is not exercised, the redemption right will terminate upon and following the first to occur of; the ninth anniversary of the ICG investment date, the consummation of a Qualified Public Offering (as defined in the third amended and restated limited liability company agreement), and the date on which the Company enters into a binding definitive agreement for a Liquidation Event.</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Company accounts for its Class A units subject to possible redemption in accordance with the guidance in FASB ASC 480. Conditionally redeemable Class A units (including Class A units that feature redemption rights that are either within the control of the holder or subject to redemption upon the occurrence of uncertain events not solely within QLH’s control) are classified as temporary equity. If the Class A units are probable of becoming redeemable, QLH recognizes changes in redemption value immediately as they occur and will adjust the carrying value of the security to equal the redemption value at the end of each reporting period. In doing so, QLH views the end of the reporting period as if it were the redemption date. Increases or decreases in the carrying amount of redeemable Class A units are effected by charges against or credits to accumulated deficit with credits being recognized only to the extent of previous charges. As of December 31, 2019, the Company has assessed redemption of the Class A units as probable. Accordingly, as of December 31, 2019, 284,211 units of the 1,136,842 outstanding Class A units were classified outside of permanent equity.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 distributions</w:t>
      </w:r>
    </w:p>
    <w:p>
      <w:pPr>
        <w:spacing w:after="0" w:line="124"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Member distributions generally represent reimbursement of the tax liability passed through to members of QLH as a result of the taxable income generated by QLH.</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units</w:t>
      </w:r>
    </w:p>
    <w:p>
      <w:pPr>
        <w:spacing w:after="0" w:line="124" w:lineRule="exact"/>
        <w:rPr>
          <w:sz w:val="20"/>
          <w:szCs w:val="20"/>
          <w:color w:val="auto"/>
        </w:rPr>
      </w:pPr>
    </w:p>
    <w:p>
      <w:pPr>
        <w:ind w:left="120" w:right="320"/>
        <w:spacing w:after="0" w:line="281" w:lineRule="auto"/>
        <w:rPr>
          <w:sz w:val="20"/>
          <w:szCs w:val="20"/>
          <w:color w:val="auto"/>
        </w:rPr>
      </w:pPr>
      <w:r>
        <w:rPr>
          <w:rFonts w:ascii="Arial" w:cs="Arial" w:eastAsia="Arial" w:hAnsi="Arial"/>
          <w:sz w:val="16"/>
          <w:szCs w:val="16"/>
          <w:color w:val="auto"/>
        </w:rPr>
        <w:t>Class A units are entitled to: one vote for each Class A unit; distributions from QLH’s operations and dispositions of QLH’s assets, at such times and in such amounts as approved by the board of directors (“BOD”), in the proportion of units held to the total units issued and outstanding; and liquidating distributions, as approved by the BOD, in the proportion of units held to the total units issued and outstanding.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units</w:t>
      </w:r>
    </w:p>
    <w:p>
      <w:pPr>
        <w:spacing w:after="0" w:line="12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Class B units are non-voting and will participate in the same distributions from QLH’s operations and dispositions of QLH’s assets and liquidating distributions as the Class A units, provided that cumulative distributions up to the applicable Participation Threshold (as defined in the third amended and restated LLC</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agreement) have already been paid to the other holders of QLH’s units (the “performance condition”). Class B units are reserved for issuance to directors, employees, managers, independent contractors, and advisors of QLH and its subsidiaries, upon approval of the BOD. Upon the occurrence of a Termination Event (as defined in the third amended and restated LLC agreement) at QLH’s discretion, the vested Class B units are repurchased at fair value and the unvested Class B units are forfeited.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Equity-based compensation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QLH Class B Restricted Unit Plan</w:t>
      </w:r>
    </w:p>
    <w:p>
      <w:pPr>
        <w:spacing w:after="0" w:line="124"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QLH’s Class B Restricted Unit Plan (the “Plan”) authorizes QLH to issue Class B units to directors, employees, managers, independent contractors, and advisors of QLH and its subsidiaries, upon approval of the BOD.</w:t>
      </w:r>
    </w:p>
    <w:p>
      <w:pPr>
        <w:spacing w:after="0" w:line="10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Class B units granted to employees are generally subject to a four-year vesting period, whereby the incentive awards become 25% vested on the first anniversary from the beginning of the requisite service period and then vest ratably on a monthly basis thereafter through the end of the vesting period.</w:t>
      </w:r>
    </w:p>
    <w:p>
      <w:pPr>
        <w:spacing w:after="0" w:line="100"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As of December 31, 2019, the total number of Class B units that may be issued under the Plan was 169,943, of which 6,143 units remained available for future grant as of December 31, 2019.</w:t>
      </w:r>
    </w:p>
    <w:p>
      <w:pPr>
        <w:spacing w:after="0" w:line="101"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The option pricing model assumptions for determining the fair value of the Class B units in the years ended December 31, 2019 and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5"/>
          </w:tcPr>
          <w:p>
            <w:pPr>
              <w:ind w:left="1000"/>
              <w:spacing w:after="0"/>
              <w:rPr>
                <w:sz w:val="20"/>
                <w:szCs w:val="20"/>
                <w:color w:val="auto"/>
              </w:rPr>
            </w:pPr>
            <w:r>
              <w:rPr>
                <w:rFonts w:ascii="Arial" w:cs="Arial" w:eastAsia="Arial" w:hAnsi="Arial"/>
                <w:sz w:val="18"/>
                <w:szCs w:val="18"/>
                <w:b w:val="1"/>
                <w:bCs w:val="1"/>
                <w:color w:val="auto"/>
                <w:w w:val="99"/>
              </w:rPr>
              <w:t>Year ended December 31,</w:t>
            </w:r>
          </w:p>
        </w:tc>
      </w:tr>
      <w:tr>
        <w:trPr>
          <w:trHeight w:val="177"/>
        </w:trPr>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4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(As restated)</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6"/>
              </w:rPr>
              <w:t>(As restated)</w:t>
            </w:r>
          </w:p>
        </w:tc>
      </w:tr>
      <w:tr>
        <w:trPr>
          <w:trHeight w:val="197"/>
        </w:trPr>
        <w:tc>
          <w:tcPr>
            <w:tcW w:w="42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52"/>
              <w:spacing w:after="0" w:line="197" w:lineRule="exact"/>
              <w:rPr>
                <w:sz w:val="20"/>
                <w:szCs w:val="20"/>
                <w:color w:val="auto"/>
              </w:rPr>
            </w:pPr>
            <w:r>
              <w:rPr>
                <w:rFonts w:ascii="Arial" w:cs="Arial" w:eastAsia="Arial" w:hAnsi="Arial"/>
                <w:sz w:val="18"/>
                <w:szCs w:val="18"/>
                <w:color w:val="auto"/>
              </w:rPr>
              <w:t>2-3 years</w:t>
            </w:r>
          </w:p>
        </w:tc>
        <w:tc>
          <w:tcPr>
            <w:tcW w:w="3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197" w:lineRule="exact"/>
              <w:rPr>
                <w:sz w:val="20"/>
                <w:szCs w:val="20"/>
                <w:color w:val="auto"/>
              </w:rPr>
            </w:pPr>
            <w:r>
              <w:rPr>
                <w:rFonts w:ascii="Arial" w:cs="Arial" w:eastAsia="Arial" w:hAnsi="Arial"/>
                <w:sz w:val="18"/>
                <w:szCs w:val="18"/>
                <w:color w:val="auto"/>
              </w:rPr>
              <w:t>3-5 years</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70% - 75%</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 -55%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6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1.58% - 2.19%</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 - 2.74%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for lack of marketability</w:t>
            </w:r>
          </w:p>
        </w:tc>
        <w:tc>
          <w:tcPr>
            <w:tcW w:w="16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430"/>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Equity compensation awards activity</w:t>
            </w:r>
          </w:p>
        </w:tc>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7540" w:type="dxa"/>
            <w:vAlign w:val="bottom"/>
            <w:gridSpan w:val="3"/>
          </w:tcPr>
          <w:p>
            <w:pPr>
              <w:spacing w:after="0"/>
              <w:rPr>
                <w:sz w:val="20"/>
                <w:szCs w:val="20"/>
                <w:color w:val="auto"/>
              </w:rPr>
            </w:pPr>
            <w:r>
              <w:rPr>
                <w:rFonts w:ascii="Arial" w:cs="Arial" w:eastAsia="Arial" w:hAnsi="Arial"/>
                <w:sz w:val="18"/>
                <w:szCs w:val="18"/>
                <w:color w:val="auto"/>
                <w:w w:val="97"/>
              </w:rPr>
              <w:t>The following is a summary of the Class B units’ activity for the years ended December 31, 2019:</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42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spacing w:after="0"/>
              <w:rPr>
                <w:sz w:val="10"/>
                <w:szCs w:val="10"/>
                <w:color w:val="auto"/>
              </w:rPr>
            </w:pPr>
          </w:p>
        </w:tc>
      </w:tr>
      <w:tr>
        <w:trPr>
          <w:trHeight w:val="224"/>
        </w:trPr>
        <w:tc>
          <w:tcPr>
            <w:tcW w:w="4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Aggregate</w:t>
            </w:r>
          </w:p>
        </w:tc>
      </w:tr>
      <w:tr>
        <w:trPr>
          <w:trHeight w:val="203"/>
        </w:trPr>
        <w:tc>
          <w:tcPr>
            <w:tcW w:w="4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80" w:type="dxa"/>
            <w:vAlign w:val="bottom"/>
            <w:gridSpan w:val="2"/>
          </w:tcPr>
          <w:p>
            <w:pPr>
              <w:jc w:val="right"/>
              <w:ind w:right="332"/>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340" w:type="dxa"/>
            <w:vAlign w:val="bottom"/>
          </w:tcPr>
          <w:p>
            <w:pPr>
              <w:spacing w:after="0"/>
              <w:rPr>
                <w:sz w:val="17"/>
                <w:szCs w:val="17"/>
                <w:color w:val="auto"/>
              </w:rPr>
            </w:pP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intrinsic</w:t>
            </w:r>
          </w:p>
        </w:tc>
      </w:tr>
      <w:tr>
        <w:trPr>
          <w:trHeight w:val="203"/>
        </w:trPr>
        <w:tc>
          <w:tcPr>
            <w:tcW w:w="4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Pr>
          <w:p>
            <w:pPr>
              <w:jc w:val="right"/>
              <w:ind w:right="552"/>
              <w:spacing w:after="0" w:line="202" w:lineRule="exact"/>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7"/>
                <w:szCs w:val="17"/>
                <w:color w:val="auto"/>
              </w:rPr>
            </w:pPr>
          </w:p>
        </w:tc>
        <w:tc>
          <w:tcPr>
            <w:tcW w:w="17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grant date fair</w:t>
            </w:r>
          </w:p>
        </w:tc>
        <w:tc>
          <w:tcPr>
            <w:tcW w:w="340" w:type="dxa"/>
            <w:vAlign w:val="bottom"/>
          </w:tcPr>
          <w:p>
            <w:pPr>
              <w:spacing w:after="0"/>
              <w:rPr>
                <w:sz w:val="17"/>
                <w:szCs w:val="17"/>
                <w:color w:val="auto"/>
              </w:rPr>
            </w:pP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value</w:t>
            </w:r>
          </w:p>
        </w:tc>
      </w:tr>
      <w:tr>
        <w:trPr>
          <w:trHeight w:val="203"/>
        </w:trPr>
        <w:tc>
          <w:tcPr>
            <w:tcW w:w="4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Pr>
          <w:p>
            <w:pPr>
              <w:jc w:val="right"/>
              <w:ind w:right="552"/>
              <w:spacing w:after="0" w:line="202" w:lineRule="exact"/>
              <w:rPr>
                <w:sz w:val="20"/>
                <w:szCs w:val="20"/>
                <w:color w:val="auto"/>
              </w:rPr>
            </w:pPr>
            <w:r>
              <w:rPr>
                <w:rFonts w:ascii="Arial" w:cs="Arial" w:eastAsia="Arial" w:hAnsi="Arial"/>
                <w:sz w:val="18"/>
                <w:szCs w:val="18"/>
                <w:b w:val="1"/>
                <w:bCs w:val="1"/>
                <w:color w:val="auto"/>
              </w:rPr>
              <w:t>units</w:t>
            </w:r>
          </w:p>
        </w:tc>
        <w:tc>
          <w:tcPr>
            <w:tcW w:w="280" w:type="dxa"/>
            <w:vAlign w:val="bottom"/>
          </w:tcPr>
          <w:p>
            <w:pPr>
              <w:spacing w:after="0"/>
              <w:rPr>
                <w:sz w:val="17"/>
                <w:szCs w:val="17"/>
                <w:color w:val="auto"/>
              </w:rPr>
            </w:pPr>
          </w:p>
        </w:tc>
        <w:tc>
          <w:tcPr>
            <w:tcW w:w="17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value/unit</w:t>
            </w:r>
          </w:p>
        </w:tc>
        <w:tc>
          <w:tcPr>
            <w:tcW w:w="1500" w:type="dxa"/>
            <w:vAlign w:val="bottom"/>
            <w:gridSpan w:val="4"/>
          </w:tcPr>
          <w:p>
            <w:pPr>
              <w:jc w:val="right"/>
              <w:ind w:right="60"/>
              <w:spacing w:after="0" w:line="202" w:lineRule="exact"/>
              <w:rPr>
                <w:sz w:val="20"/>
                <w:szCs w:val="20"/>
                <w:color w:val="auto"/>
              </w:rPr>
            </w:pPr>
            <w:r>
              <w:rPr>
                <w:rFonts w:ascii="Arial" w:cs="Arial" w:eastAsia="Arial" w:hAnsi="Arial"/>
                <w:sz w:val="18"/>
                <w:szCs w:val="18"/>
                <w:b w:val="1"/>
                <w:bCs w:val="1"/>
                <w:color w:val="auto"/>
              </w:rPr>
              <w:t>(in thousands)</w:t>
            </w:r>
          </w:p>
        </w:tc>
      </w:tr>
      <w:tr>
        <w:trPr>
          <w:trHeight w:val="234"/>
        </w:trPr>
        <w:tc>
          <w:tcPr>
            <w:tcW w:w="4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w w:val="96"/>
              </w:rPr>
              <w:t>(As restated)</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(As restated)</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8"/>
              </w:rPr>
              <w:t>(As restated)</w:t>
            </w:r>
          </w:p>
        </w:tc>
      </w:tr>
      <w:tr>
        <w:trPr>
          <w:trHeight w:val="48"/>
        </w:trPr>
        <w:tc>
          <w:tcPr>
            <w:tcW w:w="4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Class B units</w:t>
            </w:r>
          </w:p>
        </w:tc>
        <w:tc>
          <w:tcPr>
            <w:tcW w:w="16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Outstanding as of December 31, 2018</w:t>
            </w:r>
          </w:p>
        </w:tc>
        <w:tc>
          <w:tcPr>
            <w:tcW w:w="3340" w:type="dxa"/>
            <w:vAlign w:val="bottom"/>
            <w:gridSpan w:val="2"/>
          </w:tcPr>
          <w:p>
            <w:pPr>
              <w:jc w:val="right"/>
              <w:ind w:right="552"/>
              <w:spacing w:after="0" w:line="202" w:lineRule="exact"/>
              <w:rPr>
                <w:sz w:val="20"/>
                <w:szCs w:val="20"/>
                <w:color w:val="auto"/>
              </w:rPr>
            </w:pPr>
            <w:r>
              <w:rPr>
                <w:rFonts w:ascii="Arial" w:cs="Arial" w:eastAsia="Arial" w:hAnsi="Arial"/>
                <w:sz w:val="18"/>
                <w:szCs w:val="18"/>
                <w:color w:val="auto"/>
              </w:rPr>
              <w:t>98,090</w:t>
            </w:r>
          </w:p>
        </w:tc>
        <w:tc>
          <w:tcPr>
            <w:tcW w:w="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45.25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22,244</w:t>
            </w:r>
          </w:p>
        </w:tc>
      </w:tr>
      <w:tr>
        <w:trPr>
          <w:trHeight w:val="203"/>
        </w:trPr>
        <w:tc>
          <w:tcPr>
            <w:tcW w:w="4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Granted</w:t>
            </w:r>
          </w:p>
        </w:tc>
        <w:tc>
          <w:tcPr>
            <w:tcW w:w="3340" w:type="dxa"/>
            <w:vAlign w:val="bottom"/>
            <w:gridSpan w:val="2"/>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100,738</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71.69</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Repurchased</w:t>
            </w:r>
          </w:p>
        </w:tc>
        <w:tc>
          <w:tcPr>
            <w:tcW w:w="3340" w:type="dxa"/>
            <w:vAlign w:val="bottom"/>
            <w:gridSpan w:val="2"/>
          </w:tcPr>
          <w:p>
            <w:pPr>
              <w:jc w:val="right"/>
              <w:ind w:right="492"/>
              <w:spacing w:after="0" w:line="202" w:lineRule="exact"/>
              <w:rPr>
                <w:sz w:val="20"/>
                <w:szCs w:val="20"/>
                <w:color w:val="auto"/>
              </w:rPr>
            </w:pPr>
            <w:r>
              <w:rPr>
                <w:rFonts w:ascii="Arial" w:cs="Arial" w:eastAsia="Arial" w:hAnsi="Arial"/>
                <w:sz w:val="18"/>
                <w:szCs w:val="18"/>
                <w:color w:val="auto"/>
              </w:rPr>
              <w:t>(31,799)</w:t>
            </w:r>
          </w:p>
        </w:tc>
        <w:tc>
          <w:tcPr>
            <w:tcW w:w="280" w:type="dxa"/>
            <w:vAlign w:val="bottom"/>
          </w:tcPr>
          <w:p>
            <w:pPr>
              <w:spacing w:after="0"/>
              <w:rPr>
                <w:sz w:val="17"/>
                <w:szCs w:val="17"/>
                <w:color w:val="auto"/>
              </w:rPr>
            </w:pPr>
          </w:p>
        </w:tc>
        <w:tc>
          <w:tcPr>
            <w:tcW w:w="170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44.61</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Forfeited or canceled</w:t>
            </w:r>
          </w:p>
        </w:tc>
        <w:tc>
          <w:tcPr>
            <w:tcW w:w="1620" w:type="dxa"/>
            <w:vAlign w:val="bottom"/>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(3,229)</w:t>
            </w: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46.09</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3340" w:type="dxa"/>
            <w:vAlign w:val="bottom"/>
            <w:gridSpan w:val="2"/>
          </w:tcPr>
          <w:p>
            <w:pPr>
              <w:jc w:val="right"/>
              <w:ind w:right="552"/>
              <w:spacing w:after="0"/>
              <w:rPr>
                <w:sz w:val="20"/>
                <w:szCs w:val="20"/>
                <w:color w:val="auto"/>
              </w:rPr>
            </w:pPr>
            <w:r>
              <w:rPr>
                <w:rFonts w:ascii="Arial" w:cs="Arial" w:eastAsia="Arial" w:hAnsi="Arial"/>
                <w:sz w:val="18"/>
                <w:szCs w:val="18"/>
                <w:color w:val="auto"/>
              </w:rPr>
              <w:t>163,800</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61.62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28,622</w:t>
            </w:r>
          </w:p>
        </w:tc>
      </w:tr>
      <w:tr>
        <w:trPr>
          <w:trHeight w:val="357"/>
        </w:trPr>
        <w:tc>
          <w:tcPr>
            <w:tcW w:w="420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gridSpan w:val="2"/>
          </w:tcPr>
          <w:p>
            <w:pPr>
              <w:jc w:val="right"/>
              <w:ind w:right="1772"/>
              <w:spacing w:after="0"/>
              <w:rPr>
                <w:sz w:val="20"/>
                <w:szCs w:val="20"/>
                <w:color w:val="auto"/>
              </w:rPr>
            </w:pPr>
            <w:r>
              <w:rPr>
                <w:rFonts w:ascii="Arial" w:cs="Arial" w:eastAsia="Arial" w:hAnsi="Arial"/>
                <w:sz w:val="18"/>
                <w:szCs w:val="18"/>
                <w:color w:val="auto"/>
              </w:rPr>
              <w:t>F-46</w:t>
            </w:r>
          </w:p>
        </w:tc>
        <w:tc>
          <w:tcPr>
            <w:tcW w:w="2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1"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As of December 31, 2019, the Company had 51,377 vested units and 112,423 unvested units of Class B units with weighted average grant date fair value per unit of $43.33 and $70.32, respectively. The aggregate intrinsic value of the unvested shares of Class B units as of December 31, 2019 was $19.6 million. As of December 31, 2018, the Company had 62,843 vested units and 35,247 unvested units of Class B units with weighted average grant date fair value per unit of $40.59 and $54.65, respectively. During 2019, 13,941 units were vested with aggregate intrinsic value of $2.0 million.</w:t>
      </w:r>
    </w:p>
    <w:p>
      <w:pPr>
        <w:spacing w:after="0" w:line="103"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During the years ended December 31, 2019 and 2018, the Company recognized $1.3 million and $0.0 million of equity-based compensation expense for the amount by which the amount paid to repurchase the units exceeded the fair value at the date of redemption. These amounts are included within operating cash flow. Repurchases include repurchases arising in connection with the Insignia Recapitalization as well as optional unit repurchases by the Company following an employee’s termination of employment. Cash used to settle the repurchases was $5.7 million.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2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Company recorded equity-based compensation expense in the following expense categories in its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60" w:type="dxa"/>
            <w:vAlign w:val="bottom"/>
            <w:gridSpan w:val="4"/>
          </w:tcPr>
          <w:p>
            <w:pPr>
              <w:ind w:left="480"/>
              <w:spacing w:after="0"/>
              <w:rPr>
                <w:sz w:val="20"/>
                <w:szCs w:val="20"/>
                <w:color w:val="auto"/>
              </w:rPr>
            </w:pPr>
            <w:r>
              <w:rPr>
                <w:rFonts w:ascii="Arial" w:cs="Arial" w:eastAsia="Arial" w:hAnsi="Arial"/>
                <w:sz w:val="18"/>
                <w:szCs w:val="18"/>
                <w:b w:val="1"/>
                <w:bCs w:val="1"/>
                <w:color w:val="auto"/>
                <w:w w:val="98"/>
              </w:rPr>
              <w:t>Year ended December 31,</w:t>
            </w:r>
          </w:p>
        </w:tc>
      </w:tr>
      <w:tr>
        <w:trPr>
          <w:trHeight w:val="177"/>
        </w:trPr>
        <w:tc>
          <w:tcPr>
            <w:tcW w:w="79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32"/>
              <w:spacing w:after="0" w:line="177" w:lineRule="exact"/>
              <w:rPr>
                <w:sz w:val="20"/>
                <w:szCs w:val="20"/>
                <w:color w:val="auto"/>
              </w:rPr>
            </w:pPr>
            <w:r>
              <w:rPr>
                <w:rFonts w:ascii="Arial" w:cs="Arial" w:eastAsia="Arial" w:hAnsi="Arial"/>
                <w:sz w:val="18"/>
                <w:szCs w:val="18"/>
                <w:b w:val="1"/>
                <w:bCs w:val="1"/>
                <w:color w:val="auto"/>
              </w:rPr>
              <w:t>2019</w:t>
            </w:r>
          </w:p>
        </w:tc>
        <w:tc>
          <w:tcPr>
            <w:tcW w:w="8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5"/>
                <w:szCs w:val="15"/>
                <w:color w:val="auto"/>
              </w:rPr>
            </w:pPr>
          </w:p>
        </w:tc>
      </w:tr>
      <w:tr>
        <w:trPr>
          <w:trHeight w:val="234"/>
        </w:trPr>
        <w:tc>
          <w:tcPr>
            <w:tcW w:w="7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 restated)</w:t>
            </w:r>
          </w:p>
        </w:tc>
        <w:tc>
          <w:tcPr>
            <w:tcW w:w="15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(As restated)</w:t>
            </w:r>
          </w:p>
        </w:tc>
      </w:tr>
      <w:tr>
        <w:trPr>
          <w:trHeight w:val="197"/>
        </w:trPr>
        <w:tc>
          <w:tcPr>
            <w:tcW w:w="79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2"/>
              <w:spacing w:after="0" w:line="197" w:lineRule="exact"/>
              <w:rPr>
                <w:sz w:val="20"/>
                <w:szCs w:val="20"/>
                <w:color w:val="auto"/>
              </w:rPr>
            </w:pPr>
            <w:r>
              <w:rPr>
                <w:rFonts w:ascii="Arial" w:cs="Arial" w:eastAsia="Arial" w:hAnsi="Arial"/>
                <w:sz w:val="18"/>
                <w:szCs w:val="18"/>
                <w:color w:val="auto"/>
              </w:rPr>
              <w:t>181</w:t>
            </w:r>
          </w:p>
        </w:tc>
        <w:tc>
          <w:tcPr>
            <w:tcW w:w="800" w:type="dxa"/>
            <w:vAlign w:val="bottom"/>
            <w:shd w:val="clear" w:color="auto" w:fill="CCEEFF"/>
          </w:tcPr>
          <w:p>
            <w:pPr>
              <w:ind w:left="400"/>
              <w:spacing w:after="0" w:line="197"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7"/>
                <w:szCs w:val="17"/>
                <w:color w:val="auto"/>
              </w:rPr>
            </w:pPr>
          </w:p>
        </w:tc>
        <w:tc>
          <w:tcPr>
            <w:tcW w:w="112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1,384</w:t>
            </w:r>
          </w:p>
        </w:tc>
        <w:tc>
          <w:tcPr>
            <w:tcW w:w="8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6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development</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532</w:t>
            </w: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7"/>
                <w:szCs w:val="17"/>
                <w:color w:val="auto"/>
              </w:rPr>
            </w:pPr>
          </w:p>
        </w:tc>
      </w:tr>
      <w:tr>
        <w:trPr>
          <w:trHeight w:val="209"/>
        </w:trPr>
        <w:tc>
          <w:tcPr>
            <w:tcW w:w="79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2"/>
              <w:spacing w:after="0" w:line="202" w:lineRule="exact"/>
              <w:rPr>
                <w:sz w:val="20"/>
                <w:szCs w:val="20"/>
                <w:color w:val="auto"/>
              </w:rPr>
            </w:pPr>
            <w:r>
              <w:rPr>
                <w:rFonts w:ascii="Arial" w:cs="Arial" w:eastAsia="Arial" w:hAnsi="Arial"/>
                <w:sz w:val="18"/>
                <w:szCs w:val="18"/>
                <w:color w:val="auto"/>
              </w:rPr>
              <w:t>1,497</w:t>
            </w:r>
          </w:p>
        </w:tc>
        <w:tc>
          <w:tcPr>
            <w:tcW w:w="8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r>
      <w:tr>
        <w:trPr>
          <w:trHeight w:val="203"/>
        </w:trPr>
        <w:tc>
          <w:tcPr>
            <w:tcW w:w="7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equity-based compensation</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3,594</w:t>
            </w:r>
          </w:p>
        </w:tc>
        <w:tc>
          <w:tcPr>
            <w:tcW w:w="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w:t>
            </w:r>
          </w:p>
        </w:tc>
        <w:tc>
          <w:tcPr>
            <w:tcW w:w="60" w:type="dxa"/>
            <w:vAlign w:val="bottom"/>
            <w:shd w:val="clear" w:color="auto" w:fill="CCEEFF"/>
          </w:tcPr>
          <w:p>
            <w:pPr>
              <w:spacing w:after="0"/>
              <w:rPr>
                <w:sz w:val="17"/>
                <w:szCs w:val="17"/>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As of December 31, 2019 and 2018, unrecognized compensation cost related to the Class B units was $6.6 million and $2.0 million, respectively, and will be recognized over a weighted-average period of 3.2 years as of December 31, 2019 and 2.6 years as of December 31, 2018.</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Subsequent events</w:t>
      </w:r>
    </w:p>
    <w:p>
      <w:pPr>
        <w:spacing w:after="0" w:line="13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Company has evaluated subsequent events that have occurred from January 1, 2020 to March 30, 2020, the date the consolidated financial statements were available to be issued. In connection with the reissuance of the consolidated financial statements, the Company has evaluated subsequent events through September 16, 2020, which is the date that the consolidated financial statements were available to be reissued.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the 2019 Credit Facilities</w:t>
      </w:r>
    </w:p>
    <w:p>
      <w:pPr>
        <w:spacing w:after="0" w:line="124" w:lineRule="exact"/>
        <w:rPr>
          <w:sz w:val="20"/>
          <w:szCs w:val="20"/>
          <w:color w:val="auto"/>
        </w:rPr>
      </w:pPr>
    </w:p>
    <w:p>
      <w:pPr>
        <w:ind w:left="120" w:right="100"/>
        <w:spacing w:after="0" w:line="271" w:lineRule="auto"/>
        <w:rPr>
          <w:sz w:val="20"/>
          <w:szCs w:val="20"/>
          <w:color w:val="auto"/>
        </w:rPr>
      </w:pPr>
      <w:r>
        <w:rPr>
          <w:rFonts w:ascii="Arial" w:cs="Arial" w:eastAsia="Arial" w:hAnsi="Arial"/>
          <w:sz w:val="16"/>
          <w:szCs w:val="16"/>
          <w:color w:val="auto"/>
        </w:rPr>
        <w:t>On February 28, 2020, QL, as the borrower, and QLH as the guarantor, amended the 2019 Credit Facilities providing for incremental borrowing term loan capacity of up to $5.0 million (“Delayed Draw Term Loan”). The Delayed Draw Term Loan had a commitment termination date of May 28, 2020. If and when drawn, the Delayed Draw Term Loan will carry interest at the same rate as the 2019 Credit Facilities and will amortize over the same term as the 2019 Term Loan Facility, with no material changes to covenants, seniority, or security. In connection with the amendment, on February 28, 2020, the Company drew down $2.5 million on the 2019 Revolving Credit Facility to provide increased liquidity for a contemplated minority investment. The Delayed Draw Term Loan was undrawn and expired on May 28, 2020.</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QL Holdings LLC and subsidiaries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Excess Cash Flow Payment</w:t>
      </w:r>
    </w:p>
    <w:p>
      <w:pPr>
        <w:spacing w:after="0" w:line="12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On March 17, 2020, the Company made $0.3 million in excess cash flow payments towards the 2019 Term Loan Facility, consistent with the terms of the 2019 Revolving Credit Facility.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a Private Company</w:t>
      </w:r>
    </w:p>
    <w:p>
      <w:pPr>
        <w:spacing w:after="0" w:line="124"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On May 27, 2020, the Company entered into a common stock subscription agreement with a private company. ln accordance with the agreement, the Company acquired 10,000,000 shares of the private company’s common stock and paid $10 million in cash. The acquired shares represent 7% of the private company’s total outstanding shares of common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 to Members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From January 1, 2020 through September 16, 2020, the Company distributed $18.5 million to its members.</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0960"/>
          </w:cols>
          <w:pgMar w:left="320" w:top="459" w:right="6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560" w:type="dxa"/>
            <w:vAlign w:val="bottom"/>
          </w:tcPr>
          <w:p>
            <w:pPr>
              <w:jc w:val="center"/>
              <w:ind w:right="2392"/>
              <w:spacing w:after="0"/>
              <w:rPr>
                <w:sz w:val="20"/>
                <w:szCs w:val="20"/>
                <w:color w:val="auto"/>
              </w:rPr>
            </w:pPr>
            <w:r>
              <w:rPr>
                <w:rFonts w:ascii="Arial" w:cs="Arial" w:eastAsia="Arial" w:hAnsi="Arial"/>
                <w:sz w:val="18"/>
                <w:szCs w:val="18"/>
                <w:b w:val="1"/>
                <w:bCs w:val="1"/>
                <w:color w:val="auto"/>
                <w:w w:val="96"/>
              </w:rPr>
              <w:t>CONFIDENTIAL TREATMENT REQUESTED</w:t>
            </w:r>
          </w:p>
        </w:tc>
      </w:tr>
      <w:tr>
        <w:trPr>
          <w:trHeight w:val="233"/>
        </w:trPr>
        <w:tc>
          <w:tcPr>
            <w:tcW w:w="2460" w:type="dxa"/>
            <w:vAlign w:val="bottom"/>
          </w:tcPr>
          <w:p>
            <w:pPr>
              <w:spacing w:after="0"/>
              <w:rPr>
                <w:sz w:val="20"/>
                <w:szCs w:val="20"/>
                <w:color w:val="auto"/>
              </w:rPr>
            </w:pPr>
          </w:p>
        </w:tc>
        <w:tc>
          <w:tcPr>
            <w:tcW w:w="8560" w:type="dxa"/>
            <w:vAlign w:val="bottom"/>
          </w:tcPr>
          <w:p>
            <w:pPr>
              <w:jc w:val="center"/>
              <w:ind w:right="2372"/>
              <w:spacing w:after="0"/>
              <w:rPr>
                <w:sz w:val="20"/>
                <w:szCs w:val="20"/>
                <w:color w:val="auto"/>
              </w:rPr>
            </w:pPr>
            <w:r>
              <w:rPr>
                <w:rFonts w:ascii="Arial" w:cs="Arial" w:eastAsia="Arial" w:hAnsi="Arial"/>
                <w:sz w:val="18"/>
                <w:szCs w:val="18"/>
                <w:b w:val="1"/>
                <w:bCs w:val="1"/>
                <w:color w:val="auto"/>
                <w:w w:val="96"/>
              </w:rPr>
              <w:t>PURSUANT TO 17 C.F.R. SECTION 200.83</w:t>
            </w:r>
          </w:p>
        </w:tc>
      </w:tr>
      <w:tr>
        <w:trPr>
          <w:trHeight w:val="185"/>
        </w:trPr>
        <w:tc>
          <w:tcPr>
            <w:tcW w:w="2460" w:type="dxa"/>
            <w:vAlign w:val="bottom"/>
            <w:tcBorders>
              <w:bottom w:val="single" w:sz="8" w:color="auto"/>
            </w:tcBorders>
          </w:tcPr>
          <w:p>
            <w:pPr>
              <w:spacing w:after="0"/>
              <w:rPr>
                <w:sz w:val="16"/>
                <w:szCs w:val="16"/>
                <w:color w:val="auto"/>
              </w:rPr>
            </w:pPr>
          </w:p>
        </w:tc>
        <w:tc>
          <w:tcPr>
            <w:tcW w:w="8560" w:type="dxa"/>
            <w:vAlign w:val="bottom"/>
            <w:tcBorders>
              <w:bottom w:val="single" w:sz="8" w:color="auto"/>
            </w:tcBorders>
          </w:tcPr>
          <w:p>
            <w:pPr>
              <w:spacing w:after="0"/>
              <w:rPr>
                <w:sz w:val="16"/>
                <w:szCs w:val="16"/>
                <w:color w:val="auto"/>
              </w:rPr>
            </w:pPr>
          </w:p>
        </w:tc>
      </w:tr>
      <w:tr>
        <w:trPr>
          <w:trHeight w:val="41"/>
        </w:trPr>
        <w:tc>
          <w:tcPr>
            <w:tcW w:w="2460" w:type="dxa"/>
            <w:vAlign w:val="bottom"/>
            <w:tcBorders>
              <w:bottom w:val="single" w:sz="8" w:color="auto"/>
            </w:tcBorders>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r>
      <w:tr>
        <w:trPr>
          <w:trHeight w:val="361"/>
        </w:trPr>
        <w:tc>
          <w:tcPr>
            <w:tcW w:w="2460" w:type="dxa"/>
            <w:vAlign w:val="bottom"/>
          </w:tcPr>
          <w:p>
            <w:pPr>
              <w:spacing w:after="0"/>
              <w:rPr>
                <w:sz w:val="20"/>
                <w:szCs w:val="20"/>
                <w:color w:val="auto"/>
              </w:rPr>
            </w:pPr>
            <w:r>
              <w:rPr>
                <w:rFonts w:ascii="Arial" w:cs="Arial" w:eastAsia="Arial" w:hAnsi="Arial"/>
                <w:sz w:val="18"/>
                <w:szCs w:val="18"/>
                <w:b w:val="1"/>
                <w:bCs w:val="1"/>
                <w:color w:val="auto"/>
              </w:rPr>
              <w:t>Until and including March</w:t>
            </w:r>
          </w:p>
        </w:tc>
        <w:tc>
          <w:tcPr>
            <w:tcW w:w="8560" w:type="dxa"/>
            <w:vAlign w:val="bottom"/>
          </w:tcPr>
          <w:p>
            <w:pPr>
              <w:ind w:left="320"/>
              <w:spacing w:after="0"/>
              <w:rPr>
                <w:sz w:val="20"/>
                <w:szCs w:val="20"/>
                <w:color w:val="auto"/>
              </w:rPr>
            </w:pPr>
            <w:r>
              <w:rPr>
                <w:rFonts w:ascii="Arial" w:cs="Arial" w:eastAsia="Arial" w:hAnsi="Arial"/>
                <w:sz w:val="18"/>
                <w:szCs w:val="18"/>
                <w:b w:val="1"/>
                <w:bCs w:val="1"/>
                <w:color w:val="auto"/>
              </w:rPr>
              <w:t>, 2021, all dealers effecting transactions in these securities, whether or not participating in this</w:t>
            </w:r>
          </w:p>
        </w:tc>
      </w:tr>
    </w:tbl>
    <w:p>
      <w:pPr>
        <w:ind w:left="120" w:right="120"/>
        <w:spacing w:after="0" w:line="239" w:lineRule="auto"/>
        <w:rPr>
          <w:sz w:val="20"/>
          <w:szCs w:val="20"/>
          <w:color w:val="auto"/>
        </w:rPr>
      </w:pPr>
      <w:r>
        <w:rPr>
          <w:rFonts w:ascii="Arial" w:cs="Arial" w:eastAsia="Arial" w:hAnsi="Arial"/>
          <w:sz w:val="18"/>
          <w:szCs w:val="18"/>
          <w:b w:val="1"/>
          <w:bCs w:val="1"/>
          <w:color w:val="auto"/>
        </w:rPr>
        <w:t>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spacing w:after="0"/>
        <w:tabs>
          <w:tab w:leader="none" w:pos="5320" w:val="left"/>
        </w:tabs>
        <w:rPr>
          <w:sz w:val="20"/>
          <w:szCs w:val="20"/>
          <w:color w:val="auto"/>
        </w:rPr>
      </w:pPr>
      <w:r>
        <w:rPr>
          <w:rFonts w:ascii="Arial" w:cs="Arial" w:eastAsia="Arial" w:hAnsi="Arial"/>
          <w:sz w:val="32"/>
          <w:szCs w:val="32"/>
          <w:b w:val="1"/>
          <w:bCs w:val="1"/>
          <w:i w:val="1"/>
          <w:iCs w:val="1"/>
          <w:color w:val="auto"/>
        </w:rPr>
        <w:t>Secondary offering of</w:t>
      </w:r>
      <w:r>
        <w:rPr>
          <w:sz w:val="20"/>
          <w:szCs w:val="20"/>
          <w:color w:val="auto"/>
        </w:rPr>
        <w:tab/>
      </w:r>
      <w:r>
        <w:rPr>
          <w:rFonts w:ascii="Arial" w:cs="Arial" w:eastAsia="Arial" w:hAnsi="Arial"/>
          <w:sz w:val="32"/>
          <w:szCs w:val="32"/>
          <w:b w:val="1"/>
          <w:bCs w:val="1"/>
          <w:i w:val="1"/>
          <w:i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526415</wp:posOffset>
            </wp:positionV>
            <wp:extent cx="14744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i w:val="1"/>
          <w:iCs w:val="1"/>
          <w:color w:val="auto"/>
        </w:rPr>
        <w:t>Joint Bookrunners</w:t>
      </w:r>
    </w:p>
    <w:p>
      <w:pPr>
        <w:spacing w:after="0" w:line="129" w:lineRule="exact"/>
        <w:rPr>
          <w:sz w:val="20"/>
          <w:szCs w:val="20"/>
          <w:color w:val="auto"/>
        </w:rPr>
      </w:pPr>
    </w:p>
    <w:p>
      <w:pPr>
        <w:ind w:left="120"/>
        <w:spacing w:after="0"/>
        <w:tabs>
          <w:tab w:leader="none" w:pos="1004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Citigroup</w:t>
      </w:r>
    </w:p>
    <w:p>
      <w:pPr>
        <w:spacing w:after="0" w:line="166"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March</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Part II</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 required in prospectus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13. Other expenses of issuance.</w:t>
      </w:r>
    </w:p>
    <w:p>
      <w:pPr>
        <w:spacing w:after="0" w:line="13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following table sets forth the various expenses, other than the underwriting discount, payable in connection with the offering contemplated by this registration statement. All of the fees set forth below are estimates except for the SEC registration fee, the FINRA fee and the stock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w w:val="95"/>
              </w:rPr>
              <w:t>Payable by</w:t>
            </w:r>
          </w:p>
        </w:tc>
        <w:tc>
          <w:tcPr>
            <w:tcW w:w="120" w:type="dxa"/>
            <w:vAlign w:val="bottom"/>
          </w:tcPr>
          <w:p>
            <w:pPr>
              <w:spacing w:after="0"/>
              <w:rPr>
                <w:sz w:val="17"/>
                <w:szCs w:val="17"/>
                <w:color w:val="auto"/>
              </w:rPr>
            </w:pPr>
          </w:p>
        </w:tc>
      </w:tr>
      <w:tr>
        <w:trPr>
          <w:trHeight w:val="221"/>
        </w:trPr>
        <w:tc>
          <w:tcPr>
            <w:tcW w:w="62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the registrant</w:t>
            </w:r>
          </w:p>
        </w:tc>
        <w:tc>
          <w:tcPr>
            <w:tcW w:w="120" w:type="dxa"/>
            <w:vAlign w:val="bottom"/>
            <w:tcBorders>
              <w:bottom w:val="single" w:sz="8" w:color="auto"/>
            </w:tcBorders>
          </w:tcPr>
          <w:p>
            <w:pPr>
              <w:spacing w:after="0"/>
              <w:rPr>
                <w:sz w:val="19"/>
                <w:szCs w:val="19"/>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4700" w:type="dxa"/>
            <w:vAlign w:val="bottom"/>
            <w:gridSpan w:val="2"/>
            <w:shd w:val="clear" w:color="auto" w:fill="CCEEFF"/>
          </w:tcPr>
          <w:p>
            <w:pPr>
              <w:ind w:left="356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r>
      <w:tr>
        <w:trPr>
          <w:trHeight w:val="202"/>
        </w:trPr>
        <w:tc>
          <w:tcPr>
            <w:tcW w:w="6200" w:type="dxa"/>
            <w:vAlign w:val="bottom"/>
          </w:tcPr>
          <w:p>
            <w:pPr>
              <w:spacing w:after="0" w:line="202" w:lineRule="exact"/>
              <w:rPr>
                <w:sz w:val="20"/>
                <w:szCs w:val="20"/>
                <w:color w:val="auto"/>
              </w:rPr>
            </w:pPr>
            <w:r>
              <w:rPr>
                <w:rFonts w:ascii="Arial" w:cs="Arial" w:eastAsia="Arial" w:hAnsi="Arial"/>
                <w:sz w:val="18"/>
                <w:szCs w:val="18"/>
                <w:color w:val="auto"/>
              </w:rPr>
              <w:t>FINRA fee</w:t>
            </w:r>
          </w:p>
        </w:tc>
        <w:tc>
          <w:tcPr>
            <w:tcW w:w="4700" w:type="dxa"/>
            <w:vAlign w:val="bottom"/>
            <w:gridSpan w:val="2"/>
          </w:tcPr>
          <w:p>
            <w:pPr>
              <w:ind w:left="35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exchange listing fee</w:t>
            </w:r>
          </w:p>
        </w:tc>
        <w:tc>
          <w:tcPr>
            <w:tcW w:w="4700" w:type="dxa"/>
            <w:vAlign w:val="bottom"/>
            <w:gridSpan w:val="2"/>
            <w:shd w:val="clear" w:color="auto" w:fill="CCEEFF"/>
          </w:tcPr>
          <w:p>
            <w:pPr>
              <w:ind w:left="35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Printing expenses</w:t>
            </w:r>
          </w:p>
        </w:tc>
        <w:tc>
          <w:tcPr>
            <w:tcW w:w="4700" w:type="dxa"/>
            <w:vAlign w:val="bottom"/>
            <w:gridSpan w:val="2"/>
          </w:tcPr>
          <w:p>
            <w:pPr>
              <w:ind w:left="35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4700" w:type="dxa"/>
            <w:vAlign w:val="bottom"/>
            <w:gridSpan w:val="2"/>
            <w:shd w:val="clear" w:color="auto" w:fill="CCEEFF"/>
          </w:tcPr>
          <w:p>
            <w:pPr>
              <w:ind w:left="35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4700" w:type="dxa"/>
            <w:vAlign w:val="bottom"/>
            <w:gridSpan w:val="2"/>
          </w:tcPr>
          <w:p>
            <w:pPr>
              <w:ind w:left="35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4700" w:type="dxa"/>
            <w:vAlign w:val="bottom"/>
            <w:gridSpan w:val="2"/>
            <w:shd w:val="clear" w:color="auto" w:fill="CCEEFF"/>
          </w:tcPr>
          <w:p>
            <w:pPr>
              <w:ind w:left="35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Miscellaneous fees and expenses</w:t>
            </w:r>
          </w:p>
        </w:tc>
        <w:tc>
          <w:tcPr>
            <w:tcW w:w="4700" w:type="dxa"/>
            <w:vAlign w:val="bottom"/>
            <w:gridSpan w:val="2"/>
          </w:tcPr>
          <w:p>
            <w:pPr>
              <w:ind w:left="35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r>
      <w:tr>
        <w:trPr>
          <w:trHeight w:val="27"/>
        </w:trPr>
        <w:tc>
          <w:tcPr>
            <w:tcW w:w="6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700" w:type="dxa"/>
            <w:vAlign w:val="bottom"/>
            <w:gridSpan w:val="2"/>
            <w:shd w:val="clear" w:color="auto" w:fill="CCEEFF"/>
          </w:tcPr>
          <w:p>
            <w:pPr>
              <w:ind w:left="35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be furnished by amendment.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Section 145 of the General Corporation Law of the State of Delaware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Our amended and restated certificate of incorporation provides for indemnification by us of our directors and officers to the fullest extent permitted by the DGCL.</w:t>
      </w:r>
    </w:p>
    <w:p>
      <w:pPr>
        <w:spacing w:after="0" w:line="101" w:lineRule="exact"/>
        <w:rPr>
          <w:sz w:val="20"/>
          <w:szCs w:val="20"/>
          <w:color w:val="auto"/>
        </w:rPr>
      </w:pPr>
    </w:p>
    <w:p>
      <w:pPr>
        <w:ind w:left="120" w:right="180"/>
        <w:spacing w:after="0" w:line="264"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w:t>
      </w:r>
    </w:p>
    <w:p>
      <w:pPr>
        <w:ind w:left="120" w:right="180" w:hanging="4"/>
        <w:spacing w:after="0" w:line="237" w:lineRule="auto"/>
        <w:tabs>
          <w:tab w:leader="none" w:pos="3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(2) for acts or omissions not in good faith or which involve intentional misconduct or a knowing violation of law, (3) for unlawful payments of dividends or unlawful stock repurchases or redemptions as provided in Section 174 of the DGCL or (4) for any transaction from which the director derived an improper personal benefit. Our amended and restated certificate of incorporation provides for such limitation of liability.</w:t>
      </w:r>
    </w:p>
    <w:p>
      <w:pPr>
        <w:spacing w:after="0" w:line="100"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arising from claims made by reason of breach of duty or other wrongful act, and (b) to us with respect to payments which may be made by us to such officers and directors pursuant to the above indemnification provision or otherwise as a matter of law.</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840"/>
        <w:spacing w:after="0" w:line="239" w:lineRule="auto"/>
        <w:rPr>
          <w:sz w:val="20"/>
          <w:szCs w:val="20"/>
          <w:color w:val="auto"/>
        </w:rPr>
      </w:pPr>
      <w:r>
        <w:rPr>
          <w:rFonts w:ascii="Arial" w:cs="Arial" w:eastAsia="Arial" w:hAnsi="Arial"/>
          <w:sz w:val="18"/>
          <w:szCs w:val="18"/>
          <w:color w:val="auto"/>
        </w:rPr>
        <w:t>We expect that the underwriting agreement, the form of which will be filed as an exhibit to the registration statement, will provide for indemnification of directors and officers of MediaAlpha, Inc. by the underwriters against certain liabilities.</w:t>
      </w:r>
    </w:p>
    <w:p>
      <w:pPr>
        <w:spacing w:after="0" w:line="10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have entered into customary indemnification agreements with our directors and officers. These agreements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34" w:lineRule="exact"/>
        <w:rPr>
          <w:sz w:val="20"/>
          <w:szCs w:val="20"/>
          <w:color w:val="auto"/>
        </w:rPr>
      </w:pPr>
    </w:p>
    <w:p>
      <w:pPr>
        <w:ind w:left="120" w:right="120"/>
        <w:spacing w:after="0" w:line="275" w:lineRule="auto"/>
        <w:rPr>
          <w:sz w:val="20"/>
          <w:szCs w:val="20"/>
          <w:color w:val="auto"/>
        </w:rPr>
      </w:pPr>
      <w:r>
        <w:rPr>
          <w:rFonts w:ascii="Arial" w:cs="Arial" w:eastAsia="Arial" w:hAnsi="Arial"/>
          <w:sz w:val="16"/>
          <w:szCs w:val="16"/>
          <w:color w:val="auto"/>
        </w:rPr>
        <w:t>On October 27, 2020, we issued 26,141,535 shares of our Class A common stock and 30,308,492 shares of our Class B common stock in connection with the transactions that we refer to as the IPO reorganization. The issuance of such shares of Class A common stock and Class B common stock was not registered under the Securities Act of 1933, because the shares were offered and sold in a transaction by us not involving any public offering and exempt from registration under Section 4(a)(2) of the Securities Act of 1933 or Rule 701 thereunder.</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 Exhibits: The list of exhibits set forth under </w:t>
      </w:r>
      <w:r>
        <w:rPr>
          <w:rFonts w:ascii="Arial" w:cs="Arial" w:eastAsia="Arial" w:hAnsi="Arial"/>
          <w:sz w:val="18"/>
          <w:szCs w:val="18"/>
          <w:i w:val="1"/>
          <w:iCs w:val="1"/>
          <w:color w:val="auto"/>
        </w:rPr>
        <w:t>“Exhibit Index”</w:t>
      </w:r>
      <w:r>
        <w:rPr>
          <w:rFonts w:ascii="Arial" w:cs="Arial" w:eastAsia="Arial" w:hAnsi="Arial"/>
          <w:sz w:val="18"/>
          <w:szCs w:val="18"/>
          <w:color w:val="auto"/>
        </w:rPr>
        <w:t xml:space="preserve"> at the end of this Registration Statement is incorporated herein by reference.</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Some of the agreements included as exhibits to this Registration Statement contain representations and warranties by the parties to the applicable agreement. These representations and warranties were made solely for the benefit of the other parties to the applicable agreement and (1) were not intended to be treated as categorical statements of fact, but rather as a way of allocating the risk to one of the parties if those statements prove to be inaccurate; (2) may have been qualified in such agreement by disclosures that were made to the other party in connection with the negotiation of the applicable agreement; (3) may apply contract standards of “materiality” that are different from “materiality” under the applicable securities laws; and (4) were made only as of the date of the applicable agreement or such other date or dates as may be specified in the agreement. We acknowledge that, notwithstanding the inclusion of the foregoing cautionary statements, we are responsible for considering whether additional specific disclosures of material information regarding contractual provisions are required to make the statements in this Registration Statement not misleading.</w:t>
      </w:r>
    </w:p>
    <w:p>
      <w:pPr>
        <w:spacing w:after="0" w:line="106" w:lineRule="exact"/>
        <w:rPr>
          <w:sz w:val="20"/>
          <w:szCs w:val="20"/>
          <w:color w:val="auto"/>
        </w:rPr>
      </w:pPr>
    </w:p>
    <w:p>
      <w:pPr>
        <w:ind w:left="120" w:right="800" w:hanging="4"/>
        <w:spacing w:after="0" w:line="239" w:lineRule="auto"/>
        <w:tabs>
          <w:tab w:leader="none" w:pos="38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Statement Schedules: No financial statement schedules have been submitted because they are not required or are not applicable or because the information required is included in the financial statements or the notes thereto.</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17. Undertakings.</w:t>
      </w:r>
    </w:p>
    <w:p>
      <w:pPr>
        <w:spacing w:after="0" w:line="134" w:lineRule="exact"/>
        <w:rPr>
          <w:sz w:val="20"/>
          <w:szCs w:val="20"/>
          <w:color w:val="auto"/>
        </w:rPr>
      </w:pPr>
    </w:p>
    <w:p>
      <w:pPr>
        <w:ind w:left="120"/>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of 1933</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registrant hereby further undertakes that:</w:t>
      </w:r>
    </w:p>
    <w:p>
      <w:pPr>
        <w:spacing w:after="0" w:line="104" w:lineRule="exact"/>
        <w:rPr>
          <w:sz w:val="20"/>
          <w:szCs w:val="20"/>
          <w:color w:val="auto"/>
        </w:rPr>
      </w:pPr>
    </w:p>
    <w:p>
      <w:pPr>
        <w:jc w:val="both"/>
        <w:ind w:left="120" w:hanging="4"/>
        <w:spacing w:after="0" w:line="264" w:lineRule="auto"/>
        <w:tabs>
          <w:tab w:leader="none" w:pos="3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120" w:right="260" w:hanging="4"/>
        <w:spacing w:after="0" w:line="239" w:lineRule="auto"/>
        <w:tabs>
          <w:tab w:leader="none" w:pos="3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or (4) or 497(h) under the Securities Act of 1933 shall be deemed to be part of this registration statement as of the time it was declared effective; and</w:t>
      </w:r>
    </w:p>
    <w:p>
      <w:pPr>
        <w:spacing w:after="0" w:line="100" w:lineRule="exact"/>
        <w:rPr>
          <w:rFonts w:ascii="Arial" w:cs="Arial" w:eastAsia="Arial" w:hAnsi="Arial"/>
          <w:sz w:val="18"/>
          <w:szCs w:val="18"/>
          <w:color w:val="auto"/>
        </w:rPr>
      </w:pPr>
    </w:p>
    <w:p>
      <w:pPr>
        <w:ind w:left="120" w:right="60" w:hanging="4"/>
        <w:spacing w:after="0" w:line="238" w:lineRule="auto"/>
        <w:tabs>
          <w:tab w:leader="none" w:pos="3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459"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9960" w:type="dxa"/>
            <w:vAlign w:val="bottom"/>
          </w:tcPr>
          <w:p>
            <w:pPr>
              <w:ind w:left="2660"/>
              <w:spacing w:after="0"/>
              <w:rPr>
                <w:sz w:val="20"/>
                <w:szCs w:val="20"/>
                <w:color w:val="auto"/>
              </w:rPr>
            </w:pPr>
            <w:r>
              <w:rPr>
                <w:rFonts w:ascii="Arial" w:cs="Arial" w:eastAsia="Arial" w:hAnsi="Arial"/>
                <w:sz w:val="18"/>
                <w:szCs w:val="18"/>
                <w:b w:val="1"/>
                <w:bCs w:val="1"/>
                <w:color w:val="auto"/>
              </w:rPr>
              <w:t>CONFIDENTIAL TREATMENT REQUESTED</w:t>
            </w:r>
          </w:p>
        </w:tc>
      </w:tr>
      <w:tr>
        <w:trPr>
          <w:trHeight w:val="233"/>
        </w:trPr>
        <w:tc>
          <w:tcPr>
            <w:tcW w:w="1060" w:type="dxa"/>
            <w:vAlign w:val="bottom"/>
          </w:tcPr>
          <w:p>
            <w:pPr>
              <w:spacing w:after="0"/>
              <w:rPr>
                <w:sz w:val="20"/>
                <w:szCs w:val="20"/>
                <w:color w:val="auto"/>
              </w:rPr>
            </w:pPr>
          </w:p>
        </w:tc>
        <w:tc>
          <w:tcPr>
            <w:tcW w:w="9960" w:type="dxa"/>
            <w:vAlign w:val="bottom"/>
          </w:tcPr>
          <w:p>
            <w:pPr>
              <w:ind w:left="2720"/>
              <w:spacing w:after="0"/>
              <w:rPr>
                <w:sz w:val="20"/>
                <w:szCs w:val="20"/>
                <w:color w:val="auto"/>
              </w:rPr>
            </w:pPr>
            <w:r>
              <w:rPr>
                <w:rFonts w:ascii="Arial" w:cs="Arial" w:eastAsia="Arial" w:hAnsi="Arial"/>
                <w:sz w:val="18"/>
                <w:szCs w:val="18"/>
                <w:b w:val="1"/>
                <w:bCs w:val="1"/>
                <w:color w:val="auto"/>
              </w:rPr>
              <w:t>PURSUANT TO 17 C.F.R. SECTION 200.83</w:t>
            </w:r>
          </w:p>
        </w:tc>
      </w:tr>
      <w:tr>
        <w:trPr>
          <w:trHeight w:val="530"/>
        </w:trPr>
        <w:tc>
          <w:tcPr>
            <w:tcW w:w="11020" w:type="dxa"/>
            <w:vAlign w:val="bottom"/>
            <w:gridSpan w:val="2"/>
          </w:tcPr>
          <w:p>
            <w:pPr>
              <w:spacing w:after="0"/>
              <w:rPr>
                <w:sz w:val="20"/>
                <w:szCs w:val="20"/>
                <w:color w:val="auto"/>
              </w:rPr>
            </w:pPr>
            <w:r>
              <w:rPr>
                <w:rFonts w:ascii="Arial" w:cs="Arial" w:eastAsia="Arial" w:hAnsi="Arial"/>
                <w:sz w:val="32"/>
                <w:szCs w:val="32"/>
                <w:b w:val="1"/>
                <w:bCs w:val="1"/>
                <w:color w:val="auto"/>
              </w:rPr>
              <w:t>Exhibit index</w:t>
            </w:r>
          </w:p>
        </w:tc>
      </w:tr>
      <w:tr>
        <w:trPr>
          <w:trHeight w:val="113"/>
        </w:trPr>
        <w:tc>
          <w:tcPr>
            <w:tcW w:w="1060" w:type="dxa"/>
            <w:vAlign w:val="bottom"/>
            <w:tcBorders>
              <w:bottom w:val="single" w:sz="8" w:color="auto"/>
            </w:tcBorders>
          </w:tcPr>
          <w:p>
            <w:pPr>
              <w:spacing w:after="0"/>
              <w:rPr>
                <w:sz w:val="9"/>
                <w:szCs w:val="9"/>
                <w:color w:val="auto"/>
              </w:rPr>
            </w:pPr>
          </w:p>
        </w:tc>
        <w:tc>
          <w:tcPr>
            <w:tcW w:w="9960" w:type="dxa"/>
            <w:vAlign w:val="bottom"/>
            <w:tcBorders>
              <w:bottom w:val="single" w:sz="8" w:color="auto"/>
            </w:tcBorders>
          </w:tcPr>
          <w:p>
            <w:pPr>
              <w:spacing w:after="0"/>
              <w:rPr>
                <w:sz w:val="9"/>
                <w:szCs w:val="9"/>
                <w:color w:val="auto"/>
              </w:rPr>
            </w:pPr>
          </w:p>
        </w:tc>
      </w:tr>
      <w:tr>
        <w:trPr>
          <w:trHeight w:val="224"/>
        </w:trPr>
        <w:tc>
          <w:tcPr>
            <w:tcW w:w="10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960" w:type="dxa"/>
            <w:vAlign w:val="bottom"/>
          </w:tcPr>
          <w:p>
            <w:pPr>
              <w:spacing w:after="0"/>
              <w:rPr>
                <w:sz w:val="19"/>
                <w:szCs w:val="19"/>
                <w:color w:val="auto"/>
              </w:rPr>
            </w:pPr>
          </w:p>
        </w:tc>
      </w:tr>
      <w:tr>
        <w:trPr>
          <w:trHeight w:val="221"/>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996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Exhibit description</w:t>
            </w:r>
          </w:p>
        </w:tc>
      </w:tr>
      <w:tr>
        <w:trPr>
          <w:trHeight w:val="261"/>
        </w:trPr>
        <w:tc>
          <w:tcPr>
            <w:tcW w:w="1060" w:type="dxa"/>
            <w:vAlign w:val="bottom"/>
          </w:tcPr>
          <w:p>
            <w:pPr>
              <w:jc w:val="right"/>
              <w:ind w:right="387"/>
              <w:spacing w:after="0"/>
              <w:rPr>
                <w:sz w:val="20"/>
                <w:szCs w:val="20"/>
                <w:color w:val="auto"/>
              </w:rPr>
            </w:pPr>
            <w:r>
              <w:rPr>
                <w:rFonts w:ascii="Arial" w:cs="Arial" w:eastAsia="Arial" w:hAnsi="Arial"/>
                <w:sz w:val="18"/>
                <w:szCs w:val="18"/>
                <w:color w:val="auto"/>
              </w:rPr>
              <w:t>1.1**</w:t>
            </w:r>
          </w:p>
        </w:tc>
        <w:tc>
          <w:tcPr>
            <w:tcW w:w="9960" w:type="dxa"/>
            <w:vAlign w:val="bottom"/>
          </w:tcPr>
          <w:p>
            <w:pPr>
              <w:ind w:left="440"/>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3.1***</w:t>
            </w:r>
          </w:p>
        </w:tc>
        <w:tc>
          <w:tcPr>
            <w:tcW w:w="9960" w:type="dxa"/>
            <w:vAlign w:val="bottom"/>
          </w:tcPr>
          <w:p>
            <w:pPr>
              <w:ind w:left="440"/>
              <w:spacing w:after="0"/>
              <w:rPr>
                <w:sz w:val="20"/>
                <w:szCs w:val="20"/>
                <w:color w:val="auto"/>
              </w:rPr>
            </w:pPr>
            <w:r>
              <w:rPr>
                <w:rFonts w:ascii="Arial" w:cs="Arial" w:eastAsia="Arial" w:hAnsi="Arial"/>
                <w:sz w:val="18"/>
                <w:szCs w:val="18"/>
                <w:color w:val="auto"/>
              </w:rPr>
              <w:t>Amended and Restated Certificate of Incorporation of MediaAlpha, Inc. (incorporated by reference to Exhibit 3.1 to the</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Company’s Current Report on Form 8-K (File No. 001-39671) filed with the SEC on November 2, 2020).</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3.2***</w:t>
            </w:r>
          </w:p>
        </w:tc>
        <w:tc>
          <w:tcPr>
            <w:tcW w:w="9960" w:type="dxa"/>
            <w:vAlign w:val="bottom"/>
          </w:tcPr>
          <w:p>
            <w:pPr>
              <w:ind w:left="440"/>
              <w:spacing w:after="0"/>
              <w:rPr>
                <w:sz w:val="20"/>
                <w:szCs w:val="20"/>
                <w:color w:val="auto"/>
              </w:rPr>
            </w:pPr>
            <w:r>
              <w:rPr>
                <w:rFonts w:ascii="Arial" w:cs="Arial" w:eastAsia="Arial" w:hAnsi="Arial"/>
                <w:sz w:val="18"/>
                <w:szCs w:val="18"/>
                <w:color w:val="auto"/>
              </w:rPr>
              <w:t>Amended and Restated Bylaws of MediaAlpha, Inc. (incorporated by reference to Exhibit 3.2 to the Company’s Current</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Report on Form 8-K (File No. 001-39671) filed with the SEC on November 2, 2020).</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4.1***</w:t>
            </w:r>
          </w:p>
        </w:tc>
        <w:tc>
          <w:tcPr>
            <w:tcW w:w="9960" w:type="dxa"/>
            <w:vAlign w:val="bottom"/>
          </w:tcPr>
          <w:p>
            <w:pPr>
              <w:ind w:left="440"/>
              <w:spacing w:after="0"/>
              <w:rPr>
                <w:sz w:val="20"/>
                <w:szCs w:val="20"/>
                <w:color w:val="auto"/>
              </w:rPr>
            </w:pPr>
            <w:r>
              <w:rPr>
                <w:rFonts w:ascii="Arial" w:cs="Arial" w:eastAsia="Arial" w:hAnsi="Arial"/>
                <w:sz w:val="18"/>
                <w:szCs w:val="18"/>
                <w:color w:val="auto"/>
                <w:w w:val="97"/>
              </w:rPr>
              <w:t>Form of Class A Common Stock Certificate of MediaAlpha, Inc. (incorporated by reference to Exhibit 4.1 to the Company’s</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Registration Statement on Form S-1 (File No. 333-249326) filed with the SEC on October 20, 2020).</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4.2***</w:t>
            </w:r>
          </w:p>
        </w:tc>
        <w:tc>
          <w:tcPr>
            <w:tcW w:w="9960" w:type="dxa"/>
            <w:vAlign w:val="bottom"/>
          </w:tcPr>
          <w:p>
            <w:pPr>
              <w:ind w:left="440"/>
              <w:spacing w:after="0"/>
              <w:rPr>
                <w:sz w:val="20"/>
                <w:szCs w:val="20"/>
                <w:color w:val="auto"/>
              </w:rPr>
            </w:pPr>
            <w:r>
              <w:rPr>
                <w:rFonts w:ascii="Arial" w:cs="Arial" w:eastAsia="Arial" w:hAnsi="Arial"/>
                <w:sz w:val="18"/>
                <w:szCs w:val="18"/>
                <w:color w:val="auto"/>
                <w:w w:val="99"/>
              </w:rPr>
              <w:t>Registration Rights Agreement, dated October 27, 2020, by and among MediaAlpha, Inc., White Mountains Investments</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rPr>
              <w:t>(Luxembourg) S.à r.l., Insignia QL Holdings, LLC, Insignia A QL Holdings, LLC, Steven Yi, Eugene Nonko, Ambrose</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w w:val="99"/>
              </w:rPr>
              <w:t>Wang and certain other parties thereto (incorporated by reference to Exhibit 4.1 to the Company’s Form 8-K (File No.</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001-39671) filed with the SEC on November 2, 2020).</w:t>
            </w:r>
          </w:p>
        </w:tc>
      </w:tr>
      <w:tr>
        <w:trPr>
          <w:trHeight w:val="270"/>
        </w:trPr>
        <w:tc>
          <w:tcPr>
            <w:tcW w:w="1060" w:type="dxa"/>
            <w:vAlign w:val="bottom"/>
          </w:tcPr>
          <w:p>
            <w:pPr>
              <w:jc w:val="right"/>
              <w:ind w:right="387"/>
              <w:spacing w:after="0"/>
              <w:rPr>
                <w:sz w:val="20"/>
                <w:szCs w:val="20"/>
                <w:color w:val="auto"/>
              </w:rPr>
            </w:pPr>
            <w:r>
              <w:rPr>
                <w:rFonts w:ascii="Arial" w:cs="Arial" w:eastAsia="Arial" w:hAnsi="Arial"/>
                <w:sz w:val="18"/>
                <w:szCs w:val="18"/>
                <w:color w:val="auto"/>
              </w:rPr>
              <w:t>5.1**</w:t>
            </w:r>
          </w:p>
        </w:tc>
        <w:tc>
          <w:tcPr>
            <w:tcW w:w="9960" w:type="dxa"/>
            <w:vAlign w:val="bottom"/>
          </w:tcPr>
          <w:p>
            <w:pPr>
              <w:ind w:left="440"/>
              <w:spacing w:after="0"/>
              <w:rPr>
                <w:sz w:val="20"/>
                <w:szCs w:val="20"/>
                <w:color w:val="auto"/>
              </w:rPr>
            </w:pPr>
            <w:r>
              <w:rPr>
                <w:rFonts w:ascii="Arial" w:cs="Arial" w:eastAsia="Arial" w:hAnsi="Arial"/>
                <w:sz w:val="18"/>
                <w:szCs w:val="18"/>
                <w:color w:val="auto"/>
              </w:rPr>
              <w:t>Opinion of Cravath, Swaine &amp; Moore LLP</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10.1***</w:t>
            </w:r>
          </w:p>
        </w:tc>
        <w:tc>
          <w:tcPr>
            <w:tcW w:w="9960" w:type="dxa"/>
            <w:vAlign w:val="bottom"/>
          </w:tcPr>
          <w:p>
            <w:pPr>
              <w:ind w:left="440"/>
              <w:spacing w:after="0"/>
              <w:rPr>
                <w:sz w:val="20"/>
                <w:szCs w:val="20"/>
                <w:color w:val="auto"/>
              </w:rPr>
            </w:pPr>
            <w:r>
              <w:rPr>
                <w:rFonts w:ascii="Arial" w:cs="Arial" w:eastAsia="Arial" w:hAnsi="Arial"/>
                <w:sz w:val="18"/>
                <w:szCs w:val="18"/>
                <w:color w:val="auto"/>
              </w:rPr>
              <w:t>Third Amended and Restated Limited Liability Company Agreement of QL Holdings LLC, dated as of July 1, 2020</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w w:val="97"/>
              </w:rPr>
              <w:t>(incorporated by reference to Exhibit 10.1 to the Company’s Registration Statement on Form S-1 (File No. 333-249326)</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filed with the SEC on October 5, 2020).</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10.2***</w:t>
            </w:r>
          </w:p>
        </w:tc>
        <w:tc>
          <w:tcPr>
            <w:tcW w:w="9960" w:type="dxa"/>
            <w:vAlign w:val="bottom"/>
          </w:tcPr>
          <w:p>
            <w:pPr>
              <w:ind w:left="440"/>
              <w:spacing w:after="0"/>
              <w:rPr>
                <w:sz w:val="20"/>
                <w:szCs w:val="20"/>
                <w:color w:val="auto"/>
              </w:rPr>
            </w:pPr>
            <w:r>
              <w:rPr>
                <w:rFonts w:ascii="Arial" w:cs="Arial" w:eastAsia="Arial" w:hAnsi="Arial"/>
                <w:sz w:val="18"/>
                <w:szCs w:val="18"/>
                <w:color w:val="auto"/>
                <w:w w:val="99"/>
              </w:rPr>
              <w:t>Fourth Amended and Restated Limited Liability Company Agreement of QL Holdings LLC, dated as of October 27, 2020</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w w:val="97"/>
              </w:rPr>
              <w:t>(incorporated by reference to Exhibit 10.1 to the Company’s Current Report on Form 8-K (File No. 001-39671) filed with</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the SEC on November 2, 2020).</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10.3***</w:t>
            </w:r>
          </w:p>
        </w:tc>
        <w:tc>
          <w:tcPr>
            <w:tcW w:w="9960" w:type="dxa"/>
            <w:vAlign w:val="bottom"/>
          </w:tcPr>
          <w:p>
            <w:pPr>
              <w:ind w:left="440"/>
              <w:spacing w:after="0"/>
              <w:rPr>
                <w:sz w:val="20"/>
                <w:szCs w:val="20"/>
                <w:color w:val="auto"/>
              </w:rPr>
            </w:pPr>
            <w:r>
              <w:rPr>
                <w:rFonts w:ascii="Arial" w:cs="Arial" w:eastAsia="Arial" w:hAnsi="Arial"/>
                <w:sz w:val="18"/>
                <w:szCs w:val="18"/>
                <w:color w:val="auto"/>
                <w:w w:val="97"/>
              </w:rPr>
              <w:t>Tax Receivables Agreement, dated October 27, 2020, by and among MediaAlpha, Inc., QL Holdings LLC and certain other</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w w:val="98"/>
              </w:rPr>
              <w:t>parties thereto (incorporated by reference to Exhibit 10.2 to the Company’s Current Report on Form 8-K (File No. 001-</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39671) filed with the SEC on November 2, 2020).</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10.4***</w:t>
            </w:r>
          </w:p>
        </w:tc>
        <w:tc>
          <w:tcPr>
            <w:tcW w:w="9960" w:type="dxa"/>
            <w:vAlign w:val="bottom"/>
          </w:tcPr>
          <w:p>
            <w:pPr>
              <w:ind w:left="440"/>
              <w:spacing w:after="0"/>
              <w:rPr>
                <w:sz w:val="20"/>
                <w:szCs w:val="20"/>
                <w:color w:val="auto"/>
              </w:rPr>
            </w:pPr>
            <w:r>
              <w:rPr>
                <w:rFonts w:ascii="Arial" w:cs="Arial" w:eastAsia="Arial" w:hAnsi="Arial"/>
                <w:sz w:val="18"/>
                <w:szCs w:val="18"/>
                <w:color w:val="auto"/>
                <w:w w:val="97"/>
              </w:rPr>
              <w:t>Exchange Agreement, dated October 27, 2020, by and among MediaAlpha, Inc., QL Holdings LLC, Guilford Holdings, Inc.</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rPr>
              <w:t>and holders of Class B-1 units of QL Holdings LLC party thereto (incorporated by reference to Exhibit 10.3 to the</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Company’s Current Report on Form 10-K (File No. 001-39671) filed with the SEC on November 2, 2020).</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10.5***</w:t>
            </w:r>
          </w:p>
        </w:tc>
        <w:tc>
          <w:tcPr>
            <w:tcW w:w="9960" w:type="dxa"/>
            <w:vAlign w:val="bottom"/>
          </w:tcPr>
          <w:p>
            <w:pPr>
              <w:ind w:left="440"/>
              <w:spacing w:after="0"/>
              <w:rPr>
                <w:sz w:val="20"/>
                <w:szCs w:val="20"/>
                <w:color w:val="auto"/>
              </w:rPr>
            </w:pPr>
            <w:r>
              <w:rPr>
                <w:rFonts w:ascii="Arial" w:cs="Arial" w:eastAsia="Arial" w:hAnsi="Arial"/>
                <w:sz w:val="18"/>
                <w:szCs w:val="18"/>
                <w:color w:val="auto"/>
              </w:rPr>
              <w:t>Stockholders’ Agreement, dated October 27, 2020, by and among MediaAlpha, Inc., White Mountains Investments</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rPr>
              <w:t>(Luxembourg) S.à r.l., Insignia QL Holdings, LLC, Insignia A QL Holdings, LLC and Steven Yi, Eugene Nonko and</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rPr>
              <w:t>Ambrose Wang, together with their respective holding entities through which they indirectly hold common stock of</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rPr>
              <w:t>MediaAlpha, Inc. (incorporated by reference to Exhibit 10.4 to the Company’s Current Report on Form 8-K (File No.</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001-39671) filed with the SEC on November 2, 2020).</w:t>
            </w:r>
          </w:p>
        </w:tc>
      </w:tr>
      <w:tr>
        <w:trPr>
          <w:trHeight w:val="262"/>
        </w:trPr>
        <w:tc>
          <w:tcPr>
            <w:tcW w:w="1060" w:type="dxa"/>
            <w:vAlign w:val="bottom"/>
          </w:tcPr>
          <w:p>
            <w:pPr>
              <w:jc w:val="right"/>
              <w:ind w:right="327"/>
              <w:spacing w:after="0"/>
              <w:rPr>
                <w:sz w:val="20"/>
                <w:szCs w:val="20"/>
                <w:color w:val="auto"/>
              </w:rPr>
            </w:pPr>
            <w:r>
              <w:rPr>
                <w:rFonts w:ascii="Arial" w:cs="Arial" w:eastAsia="Arial" w:hAnsi="Arial"/>
                <w:sz w:val="18"/>
                <w:szCs w:val="18"/>
                <w:color w:val="auto"/>
              </w:rPr>
              <w:t>10.6***</w:t>
            </w:r>
          </w:p>
        </w:tc>
        <w:tc>
          <w:tcPr>
            <w:tcW w:w="9960" w:type="dxa"/>
            <w:vAlign w:val="bottom"/>
          </w:tcPr>
          <w:p>
            <w:pPr>
              <w:ind w:left="440"/>
              <w:spacing w:after="0"/>
              <w:rPr>
                <w:sz w:val="20"/>
                <w:szCs w:val="20"/>
                <w:color w:val="auto"/>
              </w:rPr>
            </w:pPr>
            <w:r>
              <w:rPr>
                <w:rFonts w:ascii="Arial" w:cs="Arial" w:eastAsia="Arial" w:hAnsi="Arial"/>
                <w:sz w:val="18"/>
                <w:szCs w:val="18"/>
                <w:color w:val="auto"/>
                <w:w w:val="98"/>
              </w:rPr>
              <w:t>Reorganization Agreement, dated October 27, 2020, by and among MediaAlpha ,Inc., QL Holdings LLC, QuoteLab, LLC,</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rPr>
              <w:t>Guilford Holdings, Inc., White Mountains Investments (Luxembourg) S.à r.l., White Mountains Insurance Group, Ltd.,</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w w:val="99"/>
              </w:rPr>
              <w:t>Insignia QL Holdings, LLC, Insignia A QL Holdings, LLC, Steven Yi, Eugene Nonko, Ambrose Wang and certain other</w:t>
            </w:r>
          </w:p>
        </w:tc>
      </w:tr>
      <w:tr>
        <w:trPr>
          <w:trHeight w:val="203"/>
        </w:trPr>
        <w:tc>
          <w:tcPr>
            <w:tcW w:w="1060" w:type="dxa"/>
            <w:vAlign w:val="bottom"/>
          </w:tcPr>
          <w:p>
            <w:pPr>
              <w:spacing w:after="0"/>
              <w:rPr>
                <w:sz w:val="17"/>
                <w:szCs w:val="17"/>
                <w:color w:val="auto"/>
              </w:rPr>
            </w:pPr>
          </w:p>
        </w:tc>
        <w:tc>
          <w:tcPr>
            <w:tcW w:w="9960" w:type="dxa"/>
            <w:vAlign w:val="bottom"/>
          </w:tcPr>
          <w:p>
            <w:pPr>
              <w:ind w:left="660"/>
              <w:spacing w:after="0" w:line="202" w:lineRule="exact"/>
              <w:rPr>
                <w:sz w:val="20"/>
                <w:szCs w:val="20"/>
                <w:color w:val="auto"/>
              </w:rPr>
            </w:pPr>
            <w:r>
              <w:rPr>
                <w:rFonts w:ascii="Arial" w:cs="Arial" w:eastAsia="Arial" w:hAnsi="Arial"/>
                <w:sz w:val="18"/>
                <w:szCs w:val="18"/>
                <w:color w:val="auto"/>
                <w:w w:val="98"/>
              </w:rPr>
              <w:t>parties thereto (incorporated by reference to Exhibit 10.5 to the Company’s Current Report on Form 8-K (File No. 001-</w:t>
            </w:r>
          </w:p>
        </w:tc>
      </w:tr>
      <w:tr>
        <w:trPr>
          <w:trHeight w:val="211"/>
        </w:trPr>
        <w:tc>
          <w:tcPr>
            <w:tcW w:w="106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39671) filed with the SEC on November 2, 2020).</w:t>
            </w: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9860" w:type="dxa"/>
            <w:vAlign w:val="bottom"/>
          </w:tcPr>
          <w:p>
            <w:pPr>
              <w:jc w:val="center"/>
              <w:ind w:right="1092"/>
              <w:spacing w:after="0"/>
              <w:rPr>
                <w:sz w:val="20"/>
                <w:szCs w:val="20"/>
                <w:color w:val="auto"/>
              </w:rPr>
            </w:pPr>
            <w:r>
              <w:rPr>
                <w:rFonts w:ascii="Arial" w:cs="Arial" w:eastAsia="Arial" w:hAnsi="Arial"/>
                <w:sz w:val="18"/>
                <w:szCs w:val="18"/>
                <w:b w:val="1"/>
                <w:bCs w:val="1"/>
                <w:color w:val="auto"/>
                <w:w w:val="96"/>
              </w:rPr>
              <w:t>CONFIDENTIAL TREATMENT REQUESTED</w:t>
            </w:r>
          </w:p>
        </w:tc>
      </w:tr>
      <w:tr>
        <w:trPr>
          <w:trHeight w:val="233"/>
        </w:trPr>
        <w:tc>
          <w:tcPr>
            <w:tcW w:w="1160" w:type="dxa"/>
            <w:vAlign w:val="bottom"/>
          </w:tcPr>
          <w:p>
            <w:pPr>
              <w:spacing w:after="0"/>
              <w:rPr>
                <w:sz w:val="20"/>
                <w:szCs w:val="20"/>
                <w:color w:val="auto"/>
              </w:rPr>
            </w:pPr>
          </w:p>
        </w:tc>
        <w:tc>
          <w:tcPr>
            <w:tcW w:w="9860" w:type="dxa"/>
            <w:vAlign w:val="bottom"/>
          </w:tcPr>
          <w:p>
            <w:pPr>
              <w:jc w:val="center"/>
              <w:ind w:right="1072"/>
              <w:spacing w:after="0"/>
              <w:rPr>
                <w:sz w:val="20"/>
                <w:szCs w:val="20"/>
                <w:color w:val="auto"/>
              </w:rPr>
            </w:pPr>
            <w:r>
              <w:rPr>
                <w:rFonts w:ascii="Arial" w:cs="Arial" w:eastAsia="Arial" w:hAnsi="Arial"/>
                <w:sz w:val="18"/>
                <w:szCs w:val="18"/>
                <w:b w:val="1"/>
                <w:bCs w:val="1"/>
                <w:color w:val="auto"/>
                <w:w w:val="96"/>
              </w:rPr>
              <w:t>PURSUANT TO 17 C.F.R. SECTION 200.83</w:t>
            </w:r>
          </w:p>
        </w:tc>
      </w:tr>
      <w:tr>
        <w:trPr>
          <w:trHeight w:val="144"/>
        </w:trPr>
        <w:tc>
          <w:tcPr>
            <w:tcW w:w="1160" w:type="dxa"/>
            <w:vAlign w:val="bottom"/>
            <w:tcBorders>
              <w:bottom w:val="single" w:sz="8" w:color="auto"/>
            </w:tcBorders>
          </w:tcPr>
          <w:p>
            <w:pPr>
              <w:spacing w:after="0"/>
              <w:rPr>
                <w:sz w:val="12"/>
                <w:szCs w:val="12"/>
                <w:color w:val="auto"/>
              </w:rPr>
            </w:pPr>
          </w:p>
        </w:tc>
        <w:tc>
          <w:tcPr>
            <w:tcW w:w="9860" w:type="dxa"/>
            <w:vAlign w:val="bottom"/>
            <w:tcBorders>
              <w:bottom w:val="single" w:sz="8" w:color="auto"/>
            </w:tcBorders>
          </w:tcPr>
          <w:p>
            <w:pPr>
              <w:spacing w:after="0"/>
              <w:rPr>
                <w:sz w:val="12"/>
                <w:szCs w:val="12"/>
                <w:color w:val="auto"/>
              </w:rPr>
            </w:pPr>
          </w:p>
        </w:tc>
      </w:tr>
      <w:tr>
        <w:trPr>
          <w:trHeight w:val="22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860" w:type="dxa"/>
            <w:vAlign w:val="bottom"/>
          </w:tcPr>
          <w:p>
            <w:pPr>
              <w:spacing w:after="0"/>
              <w:rPr>
                <w:sz w:val="19"/>
                <w:szCs w:val="19"/>
                <w:color w:val="auto"/>
              </w:rPr>
            </w:pPr>
          </w:p>
        </w:tc>
      </w:tr>
      <w:tr>
        <w:trPr>
          <w:trHeight w:val="22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9860" w:type="dxa"/>
            <w:vAlign w:val="bottom"/>
            <w:tcBorders>
              <w:bottom w:val="single" w:sz="8" w:color="auto"/>
            </w:tcBorders>
          </w:tcPr>
          <w:p>
            <w:pPr>
              <w:ind w:left="4300"/>
              <w:spacing w:after="0"/>
              <w:rPr>
                <w:sz w:val="20"/>
                <w:szCs w:val="20"/>
                <w:color w:val="auto"/>
              </w:rPr>
            </w:pPr>
            <w:r>
              <w:rPr>
                <w:rFonts w:ascii="Arial" w:cs="Arial" w:eastAsia="Arial" w:hAnsi="Arial"/>
                <w:sz w:val="18"/>
                <w:szCs w:val="18"/>
                <w:b w:val="1"/>
                <w:bCs w:val="1"/>
                <w:color w:val="auto"/>
              </w:rPr>
              <w:t>Exhibit description</w:t>
            </w:r>
          </w:p>
        </w:tc>
      </w:tr>
      <w:tr>
        <w:trPr>
          <w:trHeight w:val="253"/>
        </w:trPr>
        <w:tc>
          <w:tcPr>
            <w:tcW w:w="1160" w:type="dxa"/>
            <w:vAlign w:val="bottom"/>
          </w:tcPr>
          <w:p>
            <w:pPr>
              <w:ind w:left="100"/>
              <w:spacing w:after="0"/>
              <w:rPr>
                <w:sz w:val="20"/>
                <w:szCs w:val="20"/>
                <w:color w:val="auto"/>
              </w:rPr>
            </w:pPr>
            <w:r>
              <w:rPr>
                <w:rFonts w:ascii="Arial" w:cs="Arial" w:eastAsia="Arial" w:hAnsi="Arial"/>
                <w:sz w:val="18"/>
                <w:szCs w:val="18"/>
                <w:color w:val="auto"/>
              </w:rPr>
              <w:t>10.7***†</w:t>
            </w:r>
          </w:p>
        </w:tc>
        <w:tc>
          <w:tcPr>
            <w:tcW w:w="9860" w:type="dxa"/>
            <w:vAlign w:val="bottom"/>
          </w:tcPr>
          <w:p>
            <w:pPr>
              <w:ind w:left="300"/>
              <w:spacing w:after="0"/>
              <w:rPr>
                <w:sz w:val="20"/>
                <w:szCs w:val="20"/>
                <w:color w:val="auto"/>
              </w:rPr>
            </w:pPr>
            <w:r>
              <w:rPr>
                <w:rFonts w:ascii="Arial" w:cs="Arial" w:eastAsia="Arial" w:hAnsi="Arial"/>
                <w:sz w:val="18"/>
                <w:szCs w:val="18"/>
                <w:color w:val="auto"/>
              </w:rPr>
              <w:t>Amended and Restated QL Holdings LLC Class B Restricted Unit Plan (incorporated by reference to Exhibit 10.7 to the</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Company’s Registration Statement on Form S-1 (File No. 333-249326) filed with the SEC on October 5,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10.8***†</w:t>
            </w:r>
          </w:p>
        </w:tc>
        <w:tc>
          <w:tcPr>
            <w:tcW w:w="9860" w:type="dxa"/>
            <w:vAlign w:val="bottom"/>
          </w:tcPr>
          <w:p>
            <w:pPr>
              <w:ind w:left="300"/>
              <w:spacing w:after="0"/>
              <w:rPr>
                <w:sz w:val="20"/>
                <w:szCs w:val="20"/>
                <w:color w:val="auto"/>
              </w:rPr>
            </w:pPr>
            <w:r>
              <w:rPr>
                <w:rFonts w:ascii="Arial" w:cs="Arial" w:eastAsia="Arial" w:hAnsi="Arial"/>
                <w:sz w:val="18"/>
                <w:szCs w:val="18"/>
                <w:color w:val="auto"/>
              </w:rPr>
              <w:t>Form of Restricted Unit Award Agreement for Founders (incorporated by reference to Exhibit 10.8 to the Company’s</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Registration Statement on Form S-1 (File No. 333-249326) filed with the SEC on October 5,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10.9***†</w:t>
            </w:r>
          </w:p>
        </w:tc>
        <w:tc>
          <w:tcPr>
            <w:tcW w:w="9860" w:type="dxa"/>
            <w:vAlign w:val="bottom"/>
          </w:tcPr>
          <w:p>
            <w:pPr>
              <w:ind w:left="300"/>
              <w:spacing w:after="0"/>
              <w:rPr>
                <w:sz w:val="20"/>
                <w:szCs w:val="20"/>
                <w:color w:val="auto"/>
              </w:rPr>
            </w:pPr>
            <w:r>
              <w:rPr>
                <w:rFonts w:ascii="Arial" w:cs="Arial" w:eastAsia="Arial" w:hAnsi="Arial"/>
                <w:sz w:val="18"/>
                <w:szCs w:val="18"/>
                <w:color w:val="auto"/>
                <w:w w:val="97"/>
              </w:rPr>
              <w:t>2014 Form of Restricted Unit Award Agreement for Officers other than Founders (incorporated by reference to Exhibit 10.9</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to the Company’s Registration Statement on Form S-1 (File No. 333-249326) filed with the SEC on October 5,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10.10***†</w:t>
            </w:r>
          </w:p>
        </w:tc>
        <w:tc>
          <w:tcPr>
            <w:tcW w:w="9860" w:type="dxa"/>
            <w:vAlign w:val="bottom"/>
          </w:tcPr>
          <w:p>
            <w:pPr>
              <w:ind w:left="300"/>
              <w:spacing w:after="0"/>
              <w:rPr>
                <w:sz w:val="20"/>
                <w:szCs w:val="20"/>
                <w:color w:val="auto"/>
              </w:rPr>
            </w:pPr>
            <w:r>
              <w:rPr>
                <w:rFonts w:ascii="Arial" w:cs="Arial" w:eastAsia="Arial" w:hAnsi="Arial"/>
                <w:sz w:val="18"/>
                <w:szCs w:val="18"/>
                <w:color w:val="auto"/>
              </w:rPr>
              <w:t>2019 Form of Restricted Unit Award Agreement for Officers other than Founders (incorporated by reference to Exhibit</w:t>
            </w:r>
          </w:p>
        </w:tc>
      </w:tr>
      <w:tr>
        <w:trPr>
          <w:trHeight w:val="203"/>
        </w:trPr>
        <w:tc>
          <w:tcPr>
            <w:tcW w:w="1160" w:type="dxa"/>
            <w:vAlign w:val="bottom"/>
          </w:tcPr>
          <w:p>
            <w:pPr>
              <w:spacing w:after="0"/>
              <w:rPr>
                <w:sz w:val="17"/>
                <w:szCs w:val="17"/>
                <w:color w:val="auto"/>
              </w:rPr>
            </w:pPr>
          </w:p>
        </w:tc>
        <w:tc>
          <w:tcPr>
            <w:tcW w:w="9860" w:type="dxa"/>
            <w:vAlign w:val="bottom"/>
          </w:tcPr>
          <w:p>
            <w:pPr>
              <w:ind w:left="520"/>
              <w:spacing w:after="0" w:line="202" w:lineRule="exact"/>
              <w:rPr>
                <w:sz w:val="20"/>
                <w:szCs w:val="20"/>
                <w:color w:val="auto"/>
              </w:rPr>
            </w:pPr>
            <w:r>
              <w:rPr>
                <w:rFonts w:ascii="Arial" w:cs="Arial" w:eastAsia="Arial" w:hAnsi="Arial"/>
                <w:sz w:val="18"/>
                <w:szCs w:val="18"/>
                <w:color w:val="auto"/>
              </w:rPr>
              <w:t>10.10 to the Company’s Registration Statement on Form S-1 (File No. 333-249326) filed with the SEC on October 5,</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10.11***†</w:t>
            </w:r>
          </w:p>
        </w:tc>
        <w:tc>
          <w:tcPr>
            <w:tcW w:w="9860" w:type="dxa"/>
            <w:vAlign w:val="bottom"/>
          </w:tcPr>
          <w:p>
            <w:pPr>
              <w:ind w:left="300"/>
              <w:spacing w:after="0"/>
              <w:rPr>
                <w:sz w:val="20"/>
                <w:szCs w:val="20"/>
                <w:color w:val="auto"/>
              </w:rPr>
            </w:pPr>
            <w:r>
              <w:rPr>
                <w:rFonts w:ascii="Arial" w:cs="Arial" w:eastAsia="Arial" w:hAnsi="Arial"/>
                <w:sz w:val="18"/>
                <w:szCs w:val="18"/>
                <w:color w:val="auto"/>
                <w:w w:val="98"/>
              </w:rPr>
              <w:t>Employment Agreement, dated as of February 3, 2019, by and among Steven Yi and QuoteLab, LLC, QuoteLab Holdings,</w:t>
            </w:r>
          </w:p>
        </w:tc>
      </w:tr>
      <w:tr>
        <w:trPr>
          <w:trHeight w:val="203"/>
        </w:trPr>
        <w:tc>
          <w:tcPr>
            <w:tcW w:w="1160" w:type="dxa"/>
            <w:vAlign w:val="bottom"/>
          </w:tcPr>
          <w:p>
            <w:pPr>
              <w:spacing w:after="0"/>
              <w:rPr>
                <w:sz w:val="17"/>
                <w:szCs w:val="17"/>
                <w:color w:val="auto"/>
              </w:rPr>
            </w:pPr>
          </w:p>
        </w:tc>
        <w:tc>
          <w:tcPr>
            <w:tcW w:w="9860" w:type="dxa"/>
            <w:vAlign w:val="bottom"/>
          </w:tcPr>
          <w:p>
            <w:pPr>
              <w:ind w:left="520"/>
              <w:spacing w:after="0" w:line="202" w:lineRule="exact"/>
              <w:rPr>
                <w:sz w:val="20"/>
                <w:szCs w:val="20"/>
                <w:color w:val="auto"/>
              </w:rPr>
            </w:pPr>
            <w:r>
              <w:rPr>
                <w:rFonts w:ascii="Arial" w:cs="Arial" w:eastAsia="Arial" w:hAnsi="Arial"/>
                <w:sz w:val="18"/>
                <w:szCs w:val="18"/>
                <w:color w:val="auto"/>
                <w:w w:val="97"/>
              </w:rPr>
              <w:t>Inc. and QL Holdings LLC (incorporated by reference to Exhibit 10.11 to the Company’s Registration Statement on Form</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S-1 (File No. 333-249326) filed with the SEC on October 5,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10.12***†</w:t>
            </w:r>
          </w:p>
        </w:tc>
        <w:tc>
          <w:tcPr>
            <w:tcW w:w="9860" w:type="dxa"/>
            <w:vAlign w:val="bottom"/>
          </w:tcPr>
          <w:p>
            <w:pPr>
              <w:ind w:left="300"/>
              <w:spacing w:after="0"/>
              <w:rPr>
                <w:sz w:val="20"/>
                <w:szCs w:val="20"/>
                <w:color w:val="auto"/>
              </w:rPr>
            </w:pPr>
            <w:r>
              <w:rPr>
                <w:rFonts w:ascii="Arial" w:cs="Arial" w:eastAsia="Arial" w:hAnsi="Arial"/>
                <w:sz w:val="18"/>
                <w:szCs w:val="18"/>
                <w:color w:val="auto"/>
              </w:rPr>
              <w:t>Employment Agreement, dated as of February 3, 2019, by and among Eugene Nonko and QuoteLab, LLC, QuoteLab</w:t>
            </w:r>
          </w:p>
        </w:tc>
      </w:tr>
      <w:tr>
        <w:trPr>
          <w:trHeight w:val="203"/>
        </w:trPr>
        <w:tc>
          <w:tcPr>
            <w:tcW w:w="1160" w:type="dxa"/>
            <w:vAlign w:val="bottom"/>
          </w:tcPr>
          <w:p>
            <w:pPr>
              <w:spacing w:after="0"/>
              <w:rPr>
                <w:sz w:val="17"/>
                <w:szCs w:val="17"/>
                <w:color w:val="auto"/>
              </w:rPr>
            </w:pPr>
          </w:p>
        </w:tc>
        <w:tc>
          <w:tcPr>
            <w:tcW w:w="9860" w:type="dxa"/>
            <w:vAlign w:val="bottom"/>
          </w:tcPr>
          <w:p>
            <w:pPr>
              <w:ind w:left="520"/>
              <w:spacing w:after="0" w:line="202" w:lineRule="exact"/>
              <w:rPr>
                <w:sz w:val="20"/>
                <w:szCs w:val="20"/>
                <w:color w:val="auto"/>
              </w:rPr>
            </w:pPr>
            <w:r>
              <w:rPr>
                <w:rFonts w:ascii="Arial" w:cs="Arial" w:eastAsia="Arial" w:hAnsi="Arial"/>
                <w:sz w:val="18"/>
                <w:szCs w:val="18"/>
                <w:color w:val="auto"/>
              </w:rPr>
              <w:t>Holdings, Inc. and QL Holdings LLC (incorporated by reference to Exhibit 10.12 to the Company’s Registration</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Statement on Form S-1 (File No. 333-249326) filed with the SEC on October 5,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10.13***†</w:t>
            </w:r>
          </w:p>
        </w:tc>
        <w:tc>
          <w:tcPr>
            <w:tcW w:w="9860" w:type="dxa"/>
            <w:vAlign w:val="bottom"/>
          </w:tcPr>
          <w:p>
            <w:pPr>
              <w:ind w:left="300"/>
              <w:spacing w:after="0"/>
              <w:rPr>
                <w:sz w:val="20"/>
                <w:szCs w:val="20"/>
                <w:color w:val="auto"/>
              </w:rPr>
            </w:pPr>
            <w:r>
              <w:rPr>
                <w:rFonts w:ascii="Arial" w:cs="Arial" w:eastAsia="Arial" w:hAnsi="Arial"/>
                <w:sz w:val="18"/>
                <w:szCs w:val="18"/>
                <w:color w:val="auto"/>
                <w:w w:val="99"/>
              </w:rPr>
              <w:t>Severance Agreement, entered into as of June 2, 2014, by and between Keith Cramer and QuoteLab, LLC (incorporated</w:t>
            </w:r>
          </w:p>
        </w:tc>
      </w:tr>
      <w:tr>
        <w:trPr>
          <w:trHeight w:val="203"/>
        </w:trPr>
        <w:tc>
          <w:tcPr>
            <w:tcW w:w="1160" w:type="dxa"/>
            <w:vAlign w:val="bottom"/>
          </w:tcPr>
          <w:p>
            <w:pPr>
              <w:spacing w:after="0"/>
              <w:rPr>
                <w:sz w:val="17"/>
                <w:szCs w:val="17"/>
                <w:color w:val="auto"/>
              </w:rPr>
            </w:pPr>
          </w:p>
        </w:tc>
        <w:tc>
          <w:tcPr>
            <w:tcW w:w="9860" w:type="dxa"/>
            <w:vAlign w:val="bottom"/>
          </w:tcPr>
          <w:p>
            <w:pPr>
              <w:ind w:left="520"/>
              <w:spacing w:after="0" w:line="202" w:lineRule="exact"/>
              <w:rPr>
                <w:sz w:val="20"/>
                <w:szCs w:val="20"/>
                <w:color w:val="auto"/>
              </w:rPr>
            </w:pPr>
            <w:r>
              <w:rPr>
                <w:rFonts w:ascii="Arial" w:cs="Arial" w:eastAsia="Arial" w:hAnsi="Arial"/>
                <w:sz w:val="18"/>
                <w:szCs w:val="18"/>
                <w:color w:val="auto"/>
                <w:w w:val="97"/>
              </w:rPr>
              <w:t>by reference to Exhibit 10.13 to the Company’s Registration Statement on Form S-1 (File No. 333-249326) filed with the</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SEC on October 5,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10.14***†</w:t>
            </w:r>
          </w:p>
        </w:tc>
        <w:tc>
          <w:tcPr>
            <w:tcW w:w="9860" w:type="dxa"/>
            <w:vAlign w:val="bottom"/>
          </w:tcPr>
          <w:p>
            <w:pPr>
              <w:ind w:left="300"/>
              <w:spacing w:after="0"/>
              <w:rPr>
                <w:sz w:val="20"/>
                <w:szCs w:val="20"/>
                <w:color w:val="auto"/>
              </w:rPr>
            </w:pPr>
            <w:r>
              <w:rPr>
                <w:rFonts w:ascii="Arial" w:cs="Arial" w:eastAsia="Arial" w:hAnsi="Arial"/>
                <w:sz w:val="18"/>
                <w:szCs w:val="18"/>
                <w:color w:val="auto"/>
                <w:w w:val="97"/>
              </w:rPr>
              <w:t>MediaAlpha, Inc. 2020 Omnibus Incentive Plan (incorporated by reference to Exhibit 10.6 to the Company’s Current Report</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on Form 8-K (File No. 001-39671) filed with the SEC on November 2,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10.15***</w:t>
            </w:r>
          </w:p>
        </w:tc>
        <w:tc>
          <w:tcPr>
            <w:tcW w:w="9860" w:type="dxa"/>
            <w:vAlign w:val="bottom"/>
          </w:tcPr>
          <w:p>
            <w:pPr>
              <w:ind w:left="300"/>
              <w:spacing w:after="0"/>
              <w:rPr>
                <w:sz w:val="20"/>
                <w:szCs w:val="20"/>
                <w:color w:val="auto"/>
              </w:rPr>
            </w:pPr>
            <w:r>
              <w:rPr>
                <w:rFonts w:ascii="Arial" w:cs="Arial" w:eastAsia="Arial" w:hAnsi="Arial"/>
                <w:sz w:val="18"/>
                <w:szCs w:val="18"/>
                <w:color w:val="auto"/>
                <w:w w:val="98"/>
              </w:rPr>
              <w:t>2020 Credit Agreement (incorporated by reference to Exhibit 10.15 to the Company’s Registration Statement on Form S-1</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(File No. 333-249326) filed with the SEC on October 5,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10.16***†</w:t>
            </w:r>
          </w:p>
        </w:tc>
        <w:tc>
          <w:tcPr>
            <w:tcW w:w="9860" w:type="dxa"/>
            <w:vAlign w:val="bottom"/>
          </w:tcPr>
          <w:p>
            <w:pPr>
              <w:ind w:left="300"/>
              <w:spacing w:after="0"/>
              <w:rPr>
                <w:sz w:val="20"/>
                <w:szCs w:val="20"/>
                <w:color w:val="auto"/>
              </w:rPr>
            </w:pPr>
            <w:r>
              <w:rPr>
                <w:rFonts w:ascii="Arial" w:cs="Arial" w:eastAsia="Arial" w:hAnsi="Arial"/>
                <w:sz w:val="18"/>
                <w:szCs w:val="18"/>
                <w:color w:val="auto"/>
              </w:rPr>
              <w:t>2020 Form of MediaAlpha, Inc. 2020 Omnibus Incentive Plan Restricted Stock Unit Award Agreement for Founders</w:t>
            </w:r>
          </w:p>
        </w:tc>
      </w:tr>
      <w:tr>
        <w:trPr>
          <w:trHeight w:val="203"/>
        </w:trPr>
        <w:tc>
          <w:tcPr>
            <w:tcW w:w="1160" w:type="dxa"/>
            <w:vAlign w:val="bottom"/>
          </w:tcPr>
          <w:p>
            <w:pPr>
              <w:spacing w:after="0"/>
              <w:rPr>
                <w:sz w:val="17"/>
                <w:szCs w:val="17"/>
                <w:color w:val="auto"/>
              </w:rPr>
            </w:pPr>
          </w:p>
        </w:tc>
        <w:tc>
          <w:tcPr>
            <w:tcW w:w="9860" w:type="dxa"/>
            <w:vAlign w:val="bottom"/>
          </w:tcPr>
          <w:p>
            <w:pPr>
              <w:ind w:left="520"/>
              <w:spacing w:after="0" w:line="202" w:lineRule="exact"/>
              <w:rPr>
                <w:sz w:val="20"/>
                <w:szCs w:val="20"/>
                <w:color w:val="auto"/>
              </w:rPr>
            </w:pPr>
            <w:r>
              <w:rPr>
                <w:rFonts w:ascii="Arial" w:cs="Arial" w:eastAsia="Arial" w:hAnsi="Arial"/>
                <w:sz w:val="18"/>
                <w:szCs w:val="18"/>
                <w:color w:val="auto"/>
              </w:rPr>
              <w:t>(incorporated by reference to Exhibit 10.16 to the Company’s Registration Statement on Form S-1 (File No. 333-</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249326) filed with the SEC on October 23,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10.17***†</w:t>
            </w:r>
          </w:p>
        </w:tc>
        <w:tc>
          <w:tcPr>
            <w:tcW w:w="9860" w:type="dxa"/>
            <w:vAlign w:val="bottom"/>
          </w:tcPr>
          <w:p>
            <w:pPr>
              <w:ind w:left="300"/>
              <w:spacing w:after="0"/>
              <w:rPr>
                <w:sz w:val="20"/>
                <w:szCs w:val="20"/>
                <w:color w:val="auto"/>
              </w:rPr>
            </w:pPr>
            <w:r>
              <w:rPr>
                <w:rFonts w:ascii="Arial" w:cs="Arial" w:eastAsia="Arial" w:hAnsi="Arial"/>
                <w:sz w:val="18"/>
                <w:szCs w:val="18"/>
                <w:color w:val="auto"/>
              </w:rPr>
              <w:t>2020 Form of MediaAlpha, Inc. 2020 Omnibus Incentive Plan Restricted Stock Unit Award Agreement for Officers other</w:t>
            </w:r>
          </w:p>
        </w:tc>
      </w:tr>
      <w:tr>
        <w:trPr>
          <w:trHeight w:val="203"/>
        </w:trPr>
        <w:tc>
          <w:tcPr>
            <w:tcW w:w="1160" w:type="dxa"/>
            <w:vAlign w:val="bottom"/>
          </w:tcPr>
          <w:p>
            <w:pPr>
              <w:spacing w:after="0"/>
              <w:rPr>
                <w:sz w:val="17"/>
                <w:szCs w:val="17"/>
                <w:color w:val="auto"/>
              </w:rPr>
            </w:pPr>
          </w:p>
        </w:tc>
        <w:tc>
          <w:tcPr>
            <w:tcW w:w="9860" w:type="dxa"/>
            <w:vAlign w:val="bottom"/>
          </w:tcPr>
          <w:p>
            <w:pPr>
              <w:ind w:left="520"/>
              <w:spacing w:after="0" w:line="202" w:lineRule="exact"/>
              <w:rPr>
                <w:sz w:val="20"/>
                <w:szCs w:val="20"/>
                <w:color w:val="auto"/>
              </w:rPr>
            </w:pPr>
            <w:r>
              <w:rPr>
                <w:rFonts w:ascii="Arial" w:cs="Arial" w:eastAsia="Arial" w:hAnsi="Arial"/>
                <w:sz w:val="18"/>
                <w:szCs w:val="18"/>
                <w:color w:val="auto"/>
                <w:w w:val="99"/>
              </w:rPr>
              <w:t>than Founders (incorporated by reference to Exhibit 10.17 to the Company’s Registration Statement on Form S-1 (File</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No. 333-249326) filed with the SEC on October 23, 2020).</w:t>
            </w:r>
          </w:p>
        </w:tc>
      </w:tr>
      <w:tr>
        <w:trPr>
          <w:trHeight w:val="262"/>
        </w:trPr>
        <w:tc>
          <w:tcPr>
            <w:tcW w:w="1160" w:type="dxa"/>
            <w:vAlign w:val="bottom"/>
          </w:tcPr>
          <w:p>
            <w:pPr>
              <w:ind w:left="100"/>
              <w:spacing w:after="0"/>
              <w:rPr>
                <w:sz w:val="20"/>
                <w:szCs w:val="20"/>
                <w:color w:val="auto"/>
              </w:rPr>
            </w:pPr>
            <w:r>
              <w:rPr>
                <w:rFonts w:ascii="Arial" w:cs="Arial" w:eastAsia="Arial" w:hAnsi="Arial"/>
                <w:sz w:val="18"/>
                <w:szCs w:val="18"/>
                <w:color w:val="auto"/>
              </w:rPr>
              <w:t>10.18***†</w:t>
            </w:r>
          </w:p>
        </w:tc>
        <w:tc>
          <w:tcPr>
            <w:tcW w:w="9860" w:type="dxa"/>
            <w:vAlign w:val="bottom"/>
          </w:tcPr>
          <w:p>
            <w:pPr>
              <w:ind w:left="300"/>
              <w:spacing w:after="0"/>
              <w:rPr>
                <w:sz w:val="20"/>
                <w:szCs w:val="20"/>
                <w:color w:val="auto"/>
              </w:rPr>
            </w:pPr>
            <w:r>
              <w:rPr>
                <w:rFonts w:ascii="Arial" w:cs="Arial" w:eastAsia="Arial" w:hAnsi="Arial"/>
                <w:sz w:val="18"/>
                <w:szCs w:val="18"/>
                <w:color w:val="auto"/>
              </w:rPr>
              <w:t>2020 Form of MediaAlpha, Inc. 2020 Omnibus Incentive Plan Restricted Stock Unit Award Agreement for Directors</w:t>
            </w:r>
          </w:p>
        </w:tc>
      </w:tr>
      <w:tr>
        <w:trPr>
          <w:trHeight w:val="203"/>
        </w:trPr>
        <w:tc>
          <w:tcPr>
            <w:tcW w:w="1160" w:type="dxa"/>
            <w:vAlign w:val="bottom"/>
          </w:tcPr>
          <w:p>
            <w:pPr>
              <w:spacing w:after="0"/>
              <w:rPr>
                <w:sz w:val="17"/>
                <w:szCs w:val="17"/>
                <w:color w:val="auto"/>
              </w:rPr>
            </w:pPr>
          </w:p>
        </w:tc>
        <w:tc>
          <w:tcPr>
            <w:tcW w:w="9860" w:type="dxa"/>
            <w:vAlign w:val="bottom"/>
          </w:tcPr>
          <w:p>
            <w:pPr>
              <w:ind w:left="520"/>
              <w:spacing w:after="0" w:line="202" w:lineRule="exact"/>
              <w:rPr>
                <w:sz w:val="20"/>
                <w:szCs w:val="20"/>
                <w:color w:val="auto"/>
              </w:rPr>
            </w:pPr>
            <w:r>
              <w:rPr>
                <w:rFonts w:ascii="Arial" w:cs="Arial" w:eastAsia="Arial" w:hAnsi="Arial"/>
                <w:sz w:val="18"/>
                <w:szCs w:val="18"/>
                <w:color w:val="auto"/>
              </w:rPr>
              <w:t>(incorporated by reference to Exhibit 10.18 to the Company’s Registration Statement on Form S-1 (File No. 333-</w:t>
            </w:r>
          </w:p>
        </w:tc>
      </w:tr>
      <w:tr>
        <w:trPr>
          <w:trHeight w:val="211"/>
        </w:trPr>
        <w:tc>
          <w:tcPr>
            <w:tcW w:w="116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249326) filed with the SEC on October 23, 2020).</w:t>
            </w:r>
          </w:p>
        </w:tc>
      </w:tr>
      <w:tr>
        <w:trPr>
          <w:trHeight w:val="351"/>
        </w:trPr>
        <w:tc>
          <w:tcPr>
            <w:tcW w:w="1160" w:type="dxa"/>
            <w:vAlign w:val="bottom"/>
          </w:tcPr>
          <w:p>
            <w:pPr>
              <w:spacing w:after="0"/>
              <w:rPr>
                <w:sz w:val="24"/>
                <w:szCs w:val="24"/>
                <w:color w:val="auto"/>
              </w:rPr>
            </w:pPr>
          </w:p>
        </w:tc>
        <w:tc>
          <w:tcPr>
            <w:tcW w:w="9860" w:type="dxa"/>
            <w:vAlign w:val="bottom"/>
          </w:tcPr>
          <w:p>
            <w:pPr>
              <w:jc w:val="center"/>
              <w:ind w:right="1072"/>
              <w:spacing w:after="0"/>
              <w:rPr>
                <w:sz w:val="20"/>
                <w:szCs w:val="20"/>
                <w:color w:val="auto"/>
              </w:rPr>
            </w:pPr>
            <w:r>
              <w:rPr>
                <w:rFonts w:ascii="Arial" w:cs="Arial" w:eastAsia="Arial" w:hAnsi="Arial"/>
                <w:sz w:val="18"/>
                <w:szCs w:val="18"/>
                <w:color w:val="auto"/>
                <w:w w:val="99"/>
              </w:rPr>
              <w:t>II-5</w:t>
            </w:r>
          </w:p>
        </w:tc>
      </w:tr>
    </w:tbl>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9880" w:type="dxa"/>
            <w:vAlign w:val="bottom"/>
          </w:tcPr>
          <w:p>
            <w:pPr>
              <w:ind w:left="2580"/>
              <w:spacing w:after="0"/>
              <w:rPr>
                <w:sz w:val="20"/>
                <w:szCs w:val="20"/>
                <w:color w:val="auto"/>
              </w:rPr>
            </w:pPr>
            <w:r>
              <w:rPr>
                <w:rFonts w:ascii="Arial" w:cs="Arial" w:eastAsia="Arial" w:hAnsi="Arial"/>
                <w:sz w:val="18"/>
                <w:szCs w:val="18"/>
                <w:b w:val="1"/>
                <w:bCs w:val="1"/>
                <w:color w:val="auto"/>
              </w:rPr>
              <w:t>CONFIDENTIAL TREATMENT REQUESTED</w:t>
            </w:r>
          </w:p>
        </w:tc>
      </w:tr>
      <w:tr>
        <w:trPr>
          <w:trHeight w:val="233"/>
        </w:trPr>
        <w:tc>
          <w:tcPr>
            <w:tcW w:w="1140" w:type="dxa"/>
            <w:vAlign w:val="bottom"/>
          </w:tcPr>
          <w:p>
            <w:pPr>
              <w:spacing w:after="0"/>
              <w:rPr>
                <w:sz w:val="20"/>
                <w:szCs w:val="20"/>
                <w:color w:val="auto"/>
              </w:rPr>
            </w:pPr>
          </w:p>
        </w:tc>
        <w:tc>
          <w:tcPr>
            <w:tcW w:w="9880" w:type="dxa"/>
            <w:vAlign w:val="bottom"/>
          </w:tcPr>
          <w:p>
            <w:pPr>
              <w:ind w:left="2640"/>
              <w:spacing w:after="0"/>
              <w:rPr>
                <w:sz w:val="20"/>
                <w:szCs w:val="20"/>
                <w:color w:val="auto"/>
              </w:rPr>
            </w:pPr>
            <w:r>
              <w:rPr>
                <w:rFonts w:ascii="Arial" w:cs="Arial" w:eastAsia="Arial" w:hAnsi="Arial"/>
                <w:sz w:val="18"/>
                <w:szCs w:val="18"/>
                <w:b w:val="1"/>
                <w:bCs w:val="1"/>
                <w:color w:val="auto"/>
              </w:rPr>
              <w:t>PURSUANT TO 17 C.F.R. SECTION 200.83</w:t>
            </w:r>
          </w:p>
        </w:tc>
      </w:tr>
      <w:tr>
        <w:trPr>
          <w:trHeight w:val="144"/>
        </w:trPr>
        <w:tc>
          <w:tcPr>
            <w:tcW w:w="1140" w:type="dxa"/>
            <w:vAlign w:val="bottom"/>
            <w:tcBorders>
              <w:bottom w:val="single" w:sz="8" w:color="auto"/>
            </w:tcBorders>
          </w:tcPr>
          <w:p>
            <w:pPr>
              <w:spacing w:after="0"/>
              <w:rPr>
                <w:sz w:val="12"/>
                <w:szCs w:val="12"/>
                <w:color w:val="auto"/>
              </w:rPr>
            </w:pPr>
          </w:p>
        </w:tc>
        <w:tc>
          <w:tcPr>
            <w:tcW w:w="9880" w:type="dxa"/>
            <w:vAlign w:val="bottom"/>
            <w:tcBorders>
              <w:bottom w:val="single" w:sz="8" w:color="auto"/>
            </w:tcBorders>
          </w:tcPr>
          <w:p>
            <w:pPr>
              <w:spacing w:after="0"/>
              <w:rPr>
                <w:sz w:val="12"/>
                <w:szCs w:val="12"/>
                <w:color w:val="auto"/>
              </w:rPr>
            </w:pPr>
          </w:p>
        </w:tc>
      </w:tr>
      <w:tr>
        <w:trPr>
          <w:trHeight w:val="224"/>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880" w:type="dxa"/>
            <w:vAlign w:val="bottom"/>
          </w:tcPr>
          <w:p>
            <w:pPr>
              <w:spacing w:after="0"/>
              <w:rPr>
                <w:sz w:val="19"/>
                <w:szCs w:val="19"/>
                <w:color w:val="auto"/>
              </w:rPr>
            </w:pPr>
          </w:p>
        </w:tc>
      </w:tr>
      <w:tr>
        <w:trPr>
          <w:trHeight w:val="221"/>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tcBorders>
              <w:bottom w:val="single" w:sz="8" w:color="auto"/>
            </w:tcBorders>
          </w:tcPr>
          <w:p>
            <w:pPr>
              <w:ind w:left="4300"/>
              <w:spacing w:after="0"/>
              <w:rPr>
                <w:sz w:val="20"/>
                <w:szCs w:val="20"/>
                <w:color w:val="auto"/>
              </w:rPr>
            </w:pPr>
            <w:r>
              <w:rPr>
                <w:rFonts w:ascii="Arial" w:cs="Arial" w:eastAsia="Arial" w:hAnsi="Arial"/>
                <w:sz w:val="18"/>
                <w:szCs w:val="18"/>
                <w:b w:val="1"/>
                <w:bCs w:val="1"/>
                <w:color w:val="auto"/>
              </w:rPr>
              <w:t>Exhibit description</w:t>
            </w:r>
          </w:p>
        </w:tc>
      </w:tr>
      <w:tr>
        <w:trPr>
          <w:trHeight w:val="253"/>
        </w:trPr>
        <w:tc>
          <w:tcPr>
            <w:tcW w:w="1140" w:type="dxa"/>
            <w:vAlign w:val="bottom"/>
          </w:tcPr>
          <w:p>
            <w:pPr>
              <w:ind w:left="100"/>
              <w:spacing w:after="0"/>
              <w:rPr>
                <w:sz w:val="20"/>
                <w:szCs w:val="20"/>
                <w:color w:val="auto"/>
              </w:rPr>
            </w:pPr>
            <w:r>
              <w:rPr>
                <w:rFonts w:ascii="Arial" w:cs="Arial" w:eastAsia="Arial" w:hAnsi="Arial"/>
                <w:sz w:val="18"/>
                <w:szCs w:val="18"/>
                <w:color w:val="auto"/>
              </w:rPr>
              <w:t>10.19***†</w:t>
            </w:r>
          </w:p>
        </w:tc>
        <w:tc>
          <w:tcPr>
            <w:tcW w:w="9880" w:type="dxa"/>
            <w:vAlign w:val="bottom"/>
          </w:tcPr>
          <w:p>
            <w:pPr>
              <w:ind w:left="320"/>
              <w:spacing w:after="0"/>
              <w:rPr>
                <w:sz w:val="20"/>
                <w:szCs w:val="20"/>
                <w:color w:val="auto"/>
              </w:rPr>
            </w:pPr>
            <w:r>
              <w:rPr>
                <w:rFonts w:ascii="Arial" w:cs="Arial" w:eastAsia="Arial" w:hAnsi="Arial"/>
                <w:sz w:val="18"/>
                <w:szCs w:val="18"/>
                <w:color w:val="auto"/>
                <w:w w:val="98"/>
              </w:rPr>
              <w:t>Amended and Restated Employment Agreement, dated as of October 27, 2020, by and among Steven Yi, QuoteLab, LLC</w:t>
            </w:r>
          </w:p>
        </w:tc>
      </w:tr>
      <w:tr>
        <w:trPr>
          <w:trHeight w:val="203"/>
        </w:trPr>
        <w:tc>
          <w:tcPr>
            <w:tcW w:w="1140" w:type="dxa"/>
            <w:vAlign w:val="bottom"/>
          </w:tcPr>
          <w:p>
            <w:pPr>
              <w:spacing w:after="0"/>
              <w:rPr>
                <w:sz w:val="17"/>
                <w:szCs w:val="17"/>
                <w:color w:val="auto"/>
              </w:rPr>
            </w:pPr>
          </w:p>
        </w:tc>
        <w:tc>
          <w:tcPr>
            <w:tcW w:w="9880" w:type="dxa"/>
            <w:vAlign w:val="bottom"/>
          </w:tcPr>
          <w:p>
            <w:pPr>
              <w:ind w:left="540"/>
              <w:spacing w:after="0" w:line="202" w:lineRule="exact"/>
              <w:rPr>
                <w:sz w:val="20"/>
                <w:szCs w:val="20"/>
                <w:color w:val="auto"/>
              </w:rPr>
            </w:pPr>
            <w:r>
              <w:rPr>
                <w:rFonts w:ascii="Arial" w:cs="Arial" w:eastAsia="Arial" w:hAnsi="Arial"/>
                <w:sz w:val="18"/>
                <w:szCs w:val="18"/>
                <w:color w:val="auto"/>
              </w:rPr>
              <w:t>and MediaAlpha, Inc. (incorporated by reference to Exhibit 10.10 to the Company’s Current Report on Form 8-K (File</w:t>
            </w:r>
          </w:p>
        </w:tc>
      </w:tr>
      <w:tr>
        <w:trPr>
          <w:trHeight w:val="211"/>
        </w:trPr>
        <w:tc>
          <w:tcPr>
            <w:tcW w:w="1140" w:type="dxa"/>
            <w:vAlign w:val="bottom"/>
          </w:tcPr>
          <w:p>
            <w:pPr>
              <w:spacing w:after="0"/>
              <w:rPr>
                <w:sz w:val="18"/>
                <w:szCs w:val="18"/>
                <w:color w:val="auto"/>
              </w:rPr>
            </w:pPr>
          </w:p>
        </w:tc>
        <w:tc>
          <w:tcPr>
            <w:tcW w:w="9880" w:type="dxa"/>
            <w:vAlign w:val="bottom"/>
          </w:tcPr>
          <w:p>
            <w:pPr>
              <w:ind w:left="540"/>
              <w:spacing w:after="0"/>
              <w:rPr>
                <w:sz w:val="20"/>
                <w:szCs w:val="20"/>
                <w:color w:val="auto"/>
              </w:rPr>
            </w:pPr>
            <w:r>
              <w:rPr>
                <w:rFonts w:ascii="Arial" w:cs="Arial" w:eastAsia="Arial" w:hAnsi="Arial"/>
                <w:sz w:val="18"/>
                <w:szCs w:val="18"/>
                <w:color w:val="auto"/>
              </w:rPr>
              <w:t>No. 001-39671) filed with the SEC on November 2, 2020).</w:t>
            </w:r>
          </w:p>
        </w:tc>
      </w:tr>
      <w:tr>
        <w:trPr>
          <w:trHeight w:val="262"/>
        </w:trPr>
        <w:tc>
          <w:tcPr>
            <w:tcW w:w="1140" w:type="dxa"/>
            <w:vAlign w:val="bottom"/>
          </w:tcPr>
          <w:p>
            <w:pPr>
              <w:ind w:left="100"/>
              <w:spacing w:after="0"/>
              <w:rPr>
                <w:sz w:val="20"/>
                <w:szCs w:val="20"/>
                <w:color w:val="auto"/>
              </w:rPr>
            </w:pPr>
            <w:r>
              <w:rPr>
                <w:rFonts w:ascii="Arial" w:cs="Arial" w:eastAsia="Arial" w:hAnsi="Arial"/>
                <w:sz w:val="18"/>
                <w:szCs w:val="18"/>
                <w:color w:val="auto"/>
              </w:rPr>
              <w:t>10.20***†</w:t>
            </w:r>
          </w:p>
        </w:tc>
        <w:tc>
          <w:tcPr>
            <w:tcW w:w="9880" w:type="dxa"/>
            <w:vAlign w:val="bottom"/>
          </w:tcPr>
          <w:p>
            <w:pPr>
              <w:ind w:left="320"/>
              <w:spacing w:after="0"/>
              <w:rPr>
                <w:sz w:val="20"/>
                <w:szCs w:val="20"/>
                <w:color w:val="auto"/>
              </w:rPr>
            </w:pPr>
            <w:r>
              <w:rPr>
                <w:rFonts w:ascii="Arial" w:cs="Arial" w:eastAsia="Arial" w:hAnsi="Arial"/>
                <w:sz w:val="18"/>
                <w:szCs w:val="18"/>
                <w:color w:val="auto"/>
                <w:w w:val="98"/>
              </w:rPr>
              <w:t>Amended and Restated Employment Agreement, dated as of October 27, 2020, by and among Eugene Nonko, QuoteLab,</w:t>
            </w:r>
          </w:p>
        </w:tc>
      </w:tr>
      <w:tr>
        <w:trPr>
          <w:trHeight w:val="203"/>
        </w:trPr>
        <w:tc>
          <w:tcPr>
            <w:tcW w:w="1140" w:type="dxa"/>
            <w:vAlign w:val="bottom"/>
          </w:tcPr>
          <w:p>
            <w:pPr>
              <w:spacing w:after="0"/>
              <w:rPr>
                <w:sz w:val="17"/>
                <w:szCs w:val="17"/>
                <w:color w:val="auto"/>
              </w:rPr>
            </w:pPr>
          </w:p>
        </w:tc>
        <w:tc>
          <w:tcPr>
            <w:tcW w:w="9880" w:type="dxa"/>
            <w:vAlign w:val="bottom"/>
          </w:tcPr>
          <w:p>
            <w:pPr>
              <w:ind w:left="540"/>
              <w:spacing w:after="0" w:line="202" w:lineRule="exact"/>
              <w:rPr>
                <w:sz w:val="20"/>
                <w:szCs w:val="20"/>
                <w:color w:val="auto"/>
              </w:rPr>
            </w:pPr>
            <w:r>
              <w:rPr>
                <w:rFonts w:ascii="Arial" w:cs="Arial" w:eastAsia="Arial" w:hAnsi="Arial"/>
                <w:sz w:val="18"/>
                <w:szCs w:val="18"/>
                <w:color w:val="auto"/>
              </w:rPr>
              <w:t>LLC and MediaAlpha, Inc. (incorporated by reference to Exhibit 10.11 to the Company’s Current Report on Form 8-K</w:t>
            </w:r>
          </w:p>
        </w:tc>
      </w:tr>
      <w:tr>
        <w:trPr>
          <w:trHeight w:val="211"/>
        </w:trPr>
        <w:tc>
          <w:tcPr>
            <w:tcW w:w="1140" w:type="dxa"/>
            <w:vAlign w:val="bottom"/>
          </w:tcPr>
          <w:p>
            <w:pPr>
              <w:spacing w:after="0"/>
              <w:rPr>
                <w:sz w:val="18"/>
                <w:szCs w:val="18"/>
                <w:color w:val="auto"/>
              </w:rPr>
            </w:pPr>
          </w:p>
        </w:tc>
        <w:tc>
          <w:tcPr>
            <w:tcW w:w="9880" w:type="dxa"/>
            <w:vAlign w:val="bottom"/>
          </w:tcPr>
          <w:p>
            <w:pPr>
              <w:ind w:left="540"/>
              <w:spacing w:after="0"/>
              <w:rPr>
                <w:sz w:val="20"/>
                <w:szCs w:val="20"/>
                <w:color w:val="auto"/>
              </w:rPr>
            </w:pPr>
            <w:r>
              <w:rPr>
                <w:rFonts w:ascii="Arial" w:cs="Arial" w:eastAsia="Arial" w:hAnsi="Arial"/>
                <w:sz w:val="18"/>
                <w:szCs w:val="18"/>
                <w:color w:val="auto"/>
              </w:rPr>
              <w:t>(File No. 001-39671) filed with the SEC on November 2, 2020).</w:t>
            </w:r>
          </w:p>
        </w:tc>
      </w:tr>
      <w:tr>
        <w:trPr>
          <w:trHeight w:val="262"/>
        </w:trPr>
        <w:tc>
          <w:tcPr>
            <w:tcW w:w="1140" w:type="dxa"/>
            <w:vAlign w:val="bottom"/>
          </w:tcPr>
          <w:p>
            <w:pPr>
              <w:ind w:left="100"/>
              <w:spacing w:after="0"/>
              <w:rPr>
                <w:sz w:val="20"/>
                <w:szCs w:val="20"/>
                <w:color w:val="auto"/>
              </w:rPr>
            </w:pPr>
            <w:r>
              <w:rPr>
                <w:rFonts w:ascii="Arial" w:cs="Arial" w:eastAsia="Arial" w:hAnsi="Arial"/>
                <w:sz w:val="18"/>
                <w:szCs w:val="18"/>
                <w:color w:val="auto"/>
              </w:rPr>
              <w:t>10.21***†</w:t>
            </w:r>
          </w:p>
        </w:tc>
        <w:tc>
          <w:tcPr>
            <w:tcW w:w="9880" w:type="dxa"/>
            <w:vAlign w:val="bottom"/>
          </w:tcPr>
          <w:p>
            <w:pPr>
              <w:ind w:left="320"/>
              <w:spacing w:after="0"/>
              <w:rPr>
                <w:sz w:val="20"/>
                <w:szCs w:val="20"/>
                <w:color w:val="auto"/>
              </w:rPr>
            </w:pPr>
            <w:r>
              <w:rPr>
                <w:rFonts w:ascii="Arial" w:cs="Arial" w:eastAsia="Arial" w:hAnsi="Arial"/>
                <w:sz w:val="18"/>
                <w:szCs w:val="18"/>
                <w:color w:val="auto"/>
                <w:w w:val="98"/>
              </w:rPr>
              <w:t>Employment Agreement, dated as of October 2020, by and among Tigran Sinanyan, QuoteLab, LLC and MediaAlpha, Inc.</w:t>
            </w:r>
          </w:p>
        </w:tc>
      </w:tr>
      <w:tr>
        <w:trPr>
          <w:trHeight w:val="203"/>
        </w:trPr>
        <w:tc>
          <w:tcPr>
            <w:tcW w:w="1140" w:type="dxa"/>
            <w:vAlign w:val="bottom"/>
          </w:tcPr>
          <w:p>
            <w:pPr>
              <w:spacing w:after="0"/>
              <w:rPr>
                <w:sz w:val="17"/>
                <w:szCs w:val="17"/>
                <w:color w:val="auto"/>
              </w:rPr>
            </w:pPr>
          </w:p>
        </w:tc>
        <w:tc>
          <w:tcPr>
            <w:tcW w:w="9880" w:type="dxa"/>
            <w:vAlign w:val="bottom"/>
          </w:tcPr>
          <w:p>
            <w:pPr>
              <w:ind w:left="540"/>
              <w:spacing w:after="0" w:line="202" w:lineRule="exact"/>
              <w:rPr>
                <w:sz w:val="20"/>
                <w:szCs w:val="20"/>
                <w:color w:val="auto"/>
              </w:rPr>
            </w:pPr>
            <w:r>
              <w:rPr>
                <w:rFonts w:ascii="Arial" w:cs="Arial" w:eastAsia="Arial" w:hAnsi="Arial"/>
                <w:sz w:val="18"/>
                <w:szCs w:val="18"/>
                <w:color w:val="auto"/>
                <w:w w:val="97"/>
              </w:rPr>
              <w:t>(incorporated by reference to Exhibit 10.21 to the Company’s Registration Statement on Form S-1 (File No. 333-249326)</w:t>
            </w:r>
          </w:p>
        </w:tc>
      </w:tr>
      <w:tr>
        <w:trPr>
          <w:trHeight w:val="211"/>
        </w:trPr>
        <w:tc>
          <w:tcPr>
            <w:tcW w:w="1140" w:type="dxa"/>
            <w:vAlign w:val="bottom"/>
          </w:tcPr>
          <w:p>
            <w:pPr>
              <w:spacing w:after="0"/>
              <w:rPr>
                <w:sz w:val="18"/>
                <w:szCs w:val="18"/>
                <w:color w:val="auto"/>
              </w:rPr>
            </w:pPr>
          </w:p>
        </w:tc>
        <w:tc>
          <w:tcPr>
            <w:tcW w:w="9880" w:type="dxa"/>
            <w:vAlign w:val="bottom"/>
          </w:tcPr>
          <w:p>
            <w:pPr>
              <w:ind w:left="540"/>
              <w:spacing w:after="0"/>
              <w:rPr>
                <w:sz w:val="20"/>
                <w:szCs w:val="20"/>
                <w:color w:val="auto"/>
              </w:rPr>
            </w:pPr>
            <w:r>
              <w:rPr>
                <w:rFonts w:ascii="Arial" w:cs="Arial" w:eastAsia="Arial" w:hAnsi="Arial"/>
                <w:sz w:val="18"/>
                <w:szCs w:val="18"/>
                <w:color w:val="auto"/>
              </w:rPr>
              <w:t>filed with the SEC on October 23, 2020).</w:t>
            </w:r>
          </w:p>
        </w:tc>
      </w:tr>
      <w:tr>
        <w:trPr>
          <w:trHeight w:val="262"/>
        </w:trPr>
        <w:tc>
          <w:tcPr>
            <w:tcW w:w="1140" w:type="dxa"/>
            <w:vAlign w:val="bottom"/>
          </w:tcPr>
          <w:p>
            <w:pPr>
              <w:ind w:left="100"/>
              <w:spacing w:after="0"/>
              <w:rPr>
                <w:sz w:val="20"/>
                <w:szCs w:val="20"/>
                <w:color w:val="auto"/>
              </w:rPr>
            </w:pPr>
            <w:r>
              <w:rPr>
                <w:rFonts w:ascii="Arial" w:cs="Arial" w:eastAsia="Arial" w:hAnsi="Arial"/>
                <w:sz w:val="18"/>
                <w:szCs w:val="18"/>
                <w:color w:val="auto"/>
              </w:rPr>
              <w:t>10.22***</w:t>
            </w:r>
          </w:p>
        </w:tc>
        <w:tc>
          <w:tcPr>
            <w:tcW w:w="9880" w:type="dxa"/>
            <w:vAlign w:val="bottom"/>
          </w:tcPr>
          <w:p>
            <w:pPr>
              <w:ind w:left="320"/>
              <w:spacing w:after="0"/>
              <w:rPr>
                <w:sz w:val="20"/>
                <w:szCs w:val="20"/>
                <w:color w:val="auto"/>
              </w:rPr>
            </w:pPr>
            <w:r>
              <w:rPr>
                <w:rFonts w:ascii="Arial" w:cs="Arial" w:eastAsia="Arial" w:hAnsi="Arial"/>
                <w:sz w:val="18"/>
                <w:szCs w:val="18"/>
                <w:color w:val="auto"/>
                <w:w w:val="99"/>
              </w:rPr>
              <w:t>First Amendment, dated October 21, 2020, to the Third Amended and Restated Limited Liability Company Agreement of</w:t>
            </w:r>
          </w:p>
        </w:tc>
      </w:tr>
      <w:tr>
        <w:trPr>
          <w:trHeight w:val="211"/>
        </w:trPr>
        <w:tc>
          <w:tcPr>
            <w:tcW w:w="1140" w:type="dxa"/>
            <w:vAlign w:val="bottom"/>
          </w:tcPr>
          <w:p>
            <w:pPr>
              <w:spacing w:after="0"/>
              <w:rPr>
                <w:sz w:val="18"/>
                <w:szCs w:val="18"/>
                <w:color w:val="auto"/>
              </w:rPr>
            </w:pPr>
          </w:p>
        </w:tc>
        <w:tc>
          <w:tcPr>
            <w:tcW w:w="9880" w:type="dxa"/>
            <w:vAlign w:val="bottom"/>
          </w:tcPr>
          <w:p>
            <w:pPr>
              <w:ind w:left="540"/>
              <w:spacing w:after="0"/>
              <w:rPr>
                <w:sz w:val="20"/>
                <w:szCs w:val="20"/>
                <w:color w:val="auto"/>
              </w:rPr>
            </w:pPr>
            <w:r>
              <w:rPr>
                <w:rFonts w:ascii="Arial" w:cs="Arial" w:eastAsia="Arial" w:hAnsi="Arial"/>
                <w:sz w:val="18"/>
                <w:szCs w:val="18"/>
                <w:color w:val="auto"/>
              </w:rPr>
              <w:t>QL Holdings LLC, dated as of July 1, 2020.</w:t>
            </w:r>
          </w:p>
        </w:tc>
      </w:tr>
      <w:tr>
        <w:trPr>
          <w:trHeight w:val="262"/>
        </w:trPr>
        <w:tc>
          <w:tcPr>
            <w:tcW w:w="1140" w:type="dxa"/>
            <w:vAlign w:val="bottom"/>
          </w:tcPr>
          <w:p>
            <w:pPr>
              <w:ind w:left="100"/>
              <w:spacing w:after="0"/>
              <w:rPr>
                <w:sz w:val="20"/>
                <w:szCs w:val="20"/>
                <w:color w:val="auto"/>
              </w:rPr>
            </w:pPr>
            <w:r>
              <w:rPr>
                <w:rFonts w:ascii="Arial" w:cs="Arial" w:eastAsia="Arial" w:hAnsi="Arial"/>
                <w:sz w:val="18"/>
                <w:szCs w:val="18"/>
                <w:color w:val="auto"/>
              </w:rPr>
              <w:t>21.1***</w:t>
            </w:r>
          </w:p>
        </w:tc>
        <w:tc>
          <w:tcPr>
            <w:tcW w:w="9880" w:type="dxa"/>
            <w:vAlign w:val="bottom"/>
          </w:tcPr>
          <w:p>
            <w:pPr>
              <w:ind w:left="320"/>
              <w:spacing w:after="0"/>
              <w:rPr>
                <w:sz w:val="20"/>
                <w:szCs w:val="20"/>
                <w:color w:val="auto"/>
              </w:rPr>
            </w:pPr>
            <w:r>
              <w:rPr>
                <w:rFonts w:ascii="Arial" w:cs="Arial" w:eastAsia="Arial" w:hAnsi="Arial"/>
                <w:sz w:val="18"/>
                <w:szCs w:val="18"/>
                <w:color w:val="auto"/>
              </w:rPr>
              <w:t>Subsidiaries of MediaAlpha, Inc. (incorporated by reference to Exhibit 21.1 to the Company’s Registration Statement on</w:t>
            </w:r>
          </w:p>
        </w:tc>
      </w:tr>
      <w:tr>
        <w:trPr>
          <w:trHeight w:val="211"/>
        </w:trPr>
        <w:tc>
          <w:tcPr>
            <w:tcW w:w="1140" w:type="dxa"/>
            <w:vAlign w:val="bottom"/>
          </w:tcPr>
          <w:p>
            <w:pPr>
              <w:spacing w:after="0"/>
              <w:rPr>
                <w:sz w:val="18"/>
                <w:szCs w:val="18"/>
                <w:color w:val="auto"/>
              </w:rPr>
            </w:pPr>
          </w:p>
        </w:tc>
        <w:tc>
          <w:tcPr>
            <w:tcW w:w="9880" w:type="dxa"/>
            <w:vAlign w:val="bottom"/>
          </w:tcPr>
          <w:p>
            <w:pPr>
              <w:ind w:left="540"/>
              <w:spacing w:after="0"/>
              <w:rPr>
                <w:sz w:val="20"/>
                <w:szCs w:val="20"/>
                <w:color w:val="auto"/>
              </w:rPr>
            </w:pPr>
            <w:r>
              <w:rPr>
                <w:rFonts w:ascii="Arial" w:cs="Arial" w:eastAsia="Arial" w:hAnsi="Arial"/>
                <w:sz w:val="18"/>
                <w:szCs w:val="18"/>
                <w:color w:val="auto"/>
              </w:rPr>
              <w:t>Form S-1 (File No. 333-249326) filed with the SEC on October 5, 2020).</w:t>
            </w:r>
          </w:p>
        </w:tc>
      </w:tr>
      <w:tr>
        <w:trPr>
          <w:trHeight w:val="270"/>
        </w:trPr>
        <w:tc>
          <w:tcPr>
            <w:tcW w:w="1140" w:type="dxa"/>
            <w:vAlign w:val="bottom"/>
          </w:tcPr>
          <w:p>
            <w:pPr>
              <w:ind w:left="100"/>
              <w:spacing w:after="0"/>
              <w:rPr>
                <w:sz w:val="20"/>
                <w:szCs w:val="20"/>
                <w:color w:val="auto"/>
              </w:rPr>
            </w:pPr>
            <w:r>
              <w:rPr>
                <w:rFonts w:ascii="Arial" w:cs="Arial" w:eastAsia="Arial" w:hAnsi="Arial"/>
                <w:sz w:val="18"/>
                <w:szCs w:val="18"/>
                <w:color w:val="auto"/>
              </w:rPr>
              <w:t>23.1**</w:t>
            </w:r>
          </w:p>
        </w:tc>
        <w:tc>
          <w:tcPr>
            <w:tcW w:w="9880" w:type="dxa"/>
            <w:vAlign w:val="bottom"/>
          </w:tcPr>
          <w:p>
            <w:pPr>
              <w:ind w:left="320"/>
              <w:spacing w:after="0"/>
              <w:rPr>
                <w:sz w:val="20"/>
                <w:szCs w:val="20"/>
                <w:color w:val="auto"/>
              </w:rPr>
            </w:pPr>
            <w:r>
              <w:rPr>
                <w:rFonts w:ascii="Arial" w:cs="Arial" w:eastAsia="Arial" w:hAnsi="Arial"/>
                <w:sz w:val="18"/>
                <w:szCs w:val="18"/>
                <w:color w:val="auto"/>
              </w:rPr>
              <w:t>Consent of PricewaterhouseCoopers LLP</w:t>
            </w:r>
          </w:p>
        </w:tc>
      </w:tr>
      <w:tr>
        <w:trPr>
          <w:trHeight w:val="270"/>
        </w:trPr>
        <w:tc>
          <w:tcPr>
            <w:tcW w:w="1140" w:type="dxa"/>
            <w:vAlign w:val="bottom"/>
          </w:tcPr>
          <w:p>
            <w:pPr>
              <w:ind w:left="100"/>
              <w:spacing w:after="0"/>
              <w:rPr>
                <w:sz w:val="20"/>
                <w:szCs w:val="20"/>
                <w:color w:val="auto"/>
              </w:rPr>
            </w:pPr>
            <w:r>
              <w:rPr>
                <w:rFonts w:ascii="Arial" w:cs="Arial" w:eastAsia="Arial" w:hAnsi="Arial"/>
                <w:sz w:val="18"/>
                <w:szCs w:val="18"/>
                <w:color w:val="auto"/>
              </w:rPr>
              <w:t>23.2**</w:t>
            </w:r>
          </w:p>
        </w:tc>
        <w:tc>
          <w:tcPr>
            <w:tcW w:w="9880" w:type="dxa"/>
            <w:vAlign w:val="bottom"/>
          </w:tcPr>
          <w:p>
            <w:pPr>
              <w:ind w:left="320"/>
              <w:spacing w:after="0"/>
              <w:rPr>
                <w:sz w:val="20"/>
                <w:szCs w:val="20"/>
                <w:color w:val="auto"/>
              </w:rPr>
            </w:pPr>
            <w:r>
              <w:rPr>
                <w:rFonts w:ascii="Arial" w:cs="Arial" w:eastAsia="Arial" w:hAnsi="Arial"/>
                <w:sz w:val="18"/>
                <w:szCs w:val="18"/>
                <w:color w:val="auto"/>
              </w:rPr>
              <w:t>Consent of PricewaterhouseCoopers LLP</w:t>
            </w:r>
          </w:p>
        </w:tc>
      </w:tr>
      <w:tr>
        <w:trPr>
          <w:trHeight w:val="270"/>
        </w:trPr>
        <w:tc>
          <w:tcPr>
            <w:tcW w:w="1140" w:type="dxa"/>
            <w:vAlign w:val="bottom"/>
          </w:tcPr>
          <w:p>
            <w:pPr>
              <w:ind w:left="100"/>
              <w:spacing w:after="0"/>
              <w:rPr>
                <w:sz w:val="20"/>
                <w:szCs w:val="20"/>
                <w:color w:val="auto"/>
              </w:rPr>
            </w:pPr>
            <w:r>
              <w:rPr>
                <w:rFonts w:ascii="Arial" w:cs="Arial" w:eastAsia="Arial" w:hAnsi="Arial"/>
                <w:sz w:val="18"/>
                <w:szCs w:val="18"/>
                <w:color w:val="auto"/>
              </w:rPr>
              <w:t>23.3**</w:t>
            </w:r>
          </w:p>
        </w:tc>
        <w:tc>
          <w:tcPr>
            <w:tcW w:w="9880" w:type="dxa"/>
            <w:vAlign w:val="bottom"/>
          </w:tcPr>
          <w:p>
            <w:pPr>
              <w:ind w:left="320"/>
              <w:spacing w:after="0"/>
              <w:rPr>
                <w:sz w:val="20"/>
                <w:szCs w:val="20"/>
                <w:color w:val="auto"/>
              </w:rPr>
            </w:pPr>
            <w:r>
              <w:rPr>
                <w:rFonts w:ascii="Arial" w:cs="Arial" w:eastAsia="Arial" w:hAnsi="Arial"/>
                <w:sz w:val="18"/>
                <w:szCs w:val="18"/>
                <w:color w:val="auto"/>
              </w:rPr>
              <w:t>Consent of PricewaterhouseCoopers LLP</w:t>
            </w:r>
          </w:p>
        </w:tc>
      </w:tr>
      <w:tr>
        <w:trPr>
          <w:trHeight w:val="270"/>
        </w:trPr>
        <w:tc>
          <w:tcPr>
            <w:tcW w:w="1140" w:type="dxa"/>
            <w:vAlign w:val="bottom"/>
          </w:tcPr>
          <w:p>
            <w:pPr>
              <w:ind w:left="100"/>
              <w:spacing w:after="0"/>
              <w:rPr>
                <w:sz w:val="20"/>
                <w:szCs w:val="20"/>
                <w:color w:val="auto"/>
              </w:rPr>
            </w:pPr>
            <w:r>
              <w:rPr>
                <w:rFonts w:ascii="Arial" w:cs="Arial" w:eastAsia="Arial" w:hAnsi="Arial"/>
                <w:sz w:val="18"/>
                <w:szCs w:val="18"/>
                <w:color w:val="auto"/>
              </w:rPr>
              <w:t>23.4**</w:t>
            </w:r>
          </w:p>
        </w:tc>
        <w:tc>
          <w:tcPr>
            <w:tcW w:w="9880" w:type="dxa"/>
            <w:vAlign w:val="bottom"/>
          </w:tcPr>
          <w:p>
            <w:pPr>
              <w:ind w:left="320"/>
              <w:spacing w:after="0"/>
              <w:rPr>
                <w:sz w:val="20"/>
                <w:szCs w:val="20"/>
                <w:color w:val="auto"/>
              </w:rPr>
            </w:pPr>
            <w:r>
              <w:rPr>
                <w:rFonts w:ascii="Arial" w:cs="Arial" w:eastAsia="Arial" w:hAnsi="Arial"/>
                <w:sz w:val="18"/>
                <w:szCs w:val="18"/>
                <w:color w:val="auto"/>
              </w:rPr>
              <w:t>Consent of Cravath, Swaine &amp; Moore LLP (contained in its opinion filed as Exhibit 5.1 hereto)</w:t>
            </w:r>
          </w:p>
        </w:tc>
      </w:tr>
      <w:tr>
        <w:trPr>
          <w:trHeight w:val="271"/>
        </w:trPr>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24.1**</w:t>
            </w:r>
          </w:p>
        </w:tc>
        <w:tc>
          <w:tcPr>
            <w:tcW w:w="9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bl>
    <w:p>
      <w:pPr>
        <w:spacing w:after="0" w:line="66" w:lineRule="exact"/>
        <w:rPr>
          <w:sz w:val="20"/>
          <w:szCs w:val="20"/>
          <w:color w:val="auto"/>
        </w:rPr>
      </w:pPr>
    </w:p>
    <w:p>
      <w:pPr>
        <w:ind w:left="440" w:hanging="324"/>
        <w:spacing w:after="0"/>
        <w:tabs>
          <w:tab w:leader="none" w:pos="4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Filed herewith.</w:t>
      </w:r>
    </w:p>
    <w:p>
      <w:pPr>
        <w:ind w:left="440" w:hanging="324"/>
        <w:spacing w:after="0"/>
        <w:tabs>
          <w:tab w:leader="none" w:pos="4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To be filed by amendment.</w:t>
      </w:r>
    </w:p>
    <w:p>
      <w:pPr>
        <w:ind w:left="440" w:hanging="324"/>
        <w:spacing w:after="0"/>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Previously filed.</w:t>
      </w:r>
    </w:p>
    <w:p>
      <w:pPr>
        <w:ind w:left="440" w:hanging="324"/>
        <w:spacing w:after="0"/>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Signatures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behalf by the undersigned, thereunto duly authorized, in the City of Los Angeles, State of California, on March</w:t>
            </w:r>
          </w:p>
        </w:tc>
        <w:tc>
          <w:tcPr>
            <w:tcW w:w="8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1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MediaAlpha,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-4445</wp:posOffset>
            </wp:positionV>
            <wp:extent cx="255460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8"/>
          <w:szCs w:val="18"/>
          <w:color w:val="auto"/>
        </w:rPr>
        <w:t>Name: Steven Yi</w:t>
      </w:r>
    </w:p>
    <w:p>
      <w:pPr>
        <w:ind w:left="7160"/>
        <w:spacing w:after="0"/>
        <w:tabs>
          <w:tab w:leader="none" w:pos="7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700"/>
          </w:cols>
          <w:pgMar w:left="320" w:top="459" w:right="8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CONFIDENTIAL TREATMENT REQUESTED</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Signatures and powers of attorney</w:t>
      </w:r>
    </w:p>
    <w:p>
      <w:pPr>
        <w:spacing w:after="0" w:line="157"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Each of the undersigned officers and directors of MediaAlpha, Inc. hereby severally constitutes and appoints Lance Martinez and Tigran Sinanyan, and 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81"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Signature</w:t>
            </w:r>
          </w:p>
        </w:tc>
        <w:tc>
          <w:tcPr>
            <w:tcW w:w="432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b w:val="1"/>
                <w:bCs w:val="1"/>
                <w:color w:val="auto"/>
                <w:w w:val="97"/>
              </w:rPr>
              <w:t>Title</w:t>
            </w:r>
          </w:p>
        </w:tc>
        <w:tc>
          <w:tcPr>
            <w:tcW w:w="19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rPr>
              <w:t>Date</w:t>
            </w:r>
          </w:p>
        </w:tc>
      </w:tr>
      <w:tr>
        <w:trPr>
          <w:trHeight w:val="398"/>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7"/>
              </w:rPr>
              <w:t>Chief Executive Officer, President and Director</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08"/>
        </w:trPr>
        <w:tc>
          <w:tcPr>
            <w:tcW w:w="5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Steven Yi</w:t>
            </w:r>
          </w:p>
        </w:tc>
        <w:tc>
          <w:tcPr>
            <w:tcW w:w="4320" w:type="dxa"/>
            <w:vAlign w:val="bottom"/>
          </w:tcPr>
          <w:p>
            <w:pPr>
              <w:jc w:val="center"/>
              <w:ind w:right="352"/>
              <w:spacing w:after="0" w:line="194" w:lineRule="exact"/>
              <w:rPr>
                <w:sz w:val="20"/>
                <w:szCs w:val="20"/>
                <w:color w:val="auto"/>
              </w:rPr>
            </w:pPr>
            <w:r>
              <w:rPr>
                <w:rFonts w:ascii="Arial" w:cs="Arial" w:eastAsia="Arial" w:hAnsi="Arial"/>
                <w:sz w:val="18"/>
                <w:szCs w:val="18"/>
                <w:color w:val="auto"/>
                <w:w w:val="97"/>
              </w:rPr>
              <w:t>(Principal Executive Officer)</w:t>
            </w:r>
          </w:p>
        </w:tc>
        <w:tc>
          <w:tcPr>
            <w:tcW w:w="1900" w:type="dxa"/>
            <w:vAlign w:val="bottom"/>
          </w:tcPr>
          <w:p>
            <w:pPr>
              <w:spacing w:after="0"/>
              <w:rPr>
                <w:sz w:val="18"/>
                <w:szCs w:val="18"/>
                <w:color w:val="auto"/>
              </w:rPr>
            </w:pPr>
          </w:p>
        </w:tc>
      </w:tr>
      <w:tr>
        <w:trPr>
          <w:trHeight w:val="421"/>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7"/>
              </w:rPr>
              <w:t>Chief Financial Officer and Treasurer (Principal</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08"/>
        </w:trPr>
        <w:tc>
          <w:tcPr>
            <w:tcW w:w="5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Tigran Sinanyan</w:t>
            </w:r>
          </w:p>
        </w:tc>
        <w:tc>
          <w:tcPr>
            <w:tcW w:w="4320" w:type="dxa"/>
            <w:vAlign w:val="bottom"/>
          </w:tcPr>
          <w:p>
            <w:pPr>
              <w:jc w:val="center"/>
              <w:ind w:right="372"/>
              <w:spacing w:after="0" w:line="194" w:lineRule="exact"/>
              <w:rPr>
                <w:sz w:val="20"/>
                <w:szCs w:val="20"/>
                <w:color w:val="auto"/>
              </w:rPr>
            </w:pPr>
            <w:r>
              <w:rPr>
                <w:rFonts w:ascii="Arial" w:cs="Arial" w:eastAsia="Arial" w:hAnsi="Arial"/>
                <w:sz w:val="18"/>
                <w:szCs w:val="18"/>
                <w:color w:val="auto"/>
                <w:w w:val="97"/>
              </w:rPr>
              <w:t>Financial and Accounting Officer)</w:t>
            </w:r>
          </w:p>
        </w:tc>
        <w:tc>
          <w:tcPr>
            <w:tcW w:w="1900" w:type="dxa"/>
            <w:vAlign w:val="bottom"/>
          </w:tcPr>
          <w:p>
            <w:pPr>
              <w:spacing w:after="0"/>
              <w:rPr>
                <w:sz w:val="18"/>
                <w:szCs w:val="18"/>
                <w:color w:val="auto"/>
              </w:rPr>
            </w:pPr>
          </w:p>
        </w:tc>
      </w:tr>
      <w:tr>
        <w:trPr>
          <w:trHeight w:val="421"/>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07"/>
        </w:trPr>
        <w:tc>
          <w:tcPr>
            <w:tcW w:w="5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Vermal (Raji) Arasu</w:t>
            </w:r>
          </w:p>
        </w:tc>
        <w:tc>
          <w:tcPr>
            <w:tcW w:w="4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20"/>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08"/>
        </w:trPr>
        <w:tc>
          <w:tcPr>
            <w:tcW w:w="5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Anthony Broglio</w:t>
            </w:r>
          </w:p>
        </w:tc>
        <w:tc>
          <w:tcPr>
            <w:tcW w:w="4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20"/>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08"/>
        </w:trPr>
        <w:tc>
          <w:tcPr>
            <w:tcW w:w="5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Christopher Delehanty</w:t>
            </w:r>
          </w:p>
        </w:tc>
        <w:tc>
          <w:tcPr>
            <w:tcW w:w="4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20"/>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08"/>
        </w:trPr>
        <w:tc>
          <w:tcPr>
            <w:tcW w:w="5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David Lowe</w:t>
            </w:r>
          </w:p>
        </w:tc>
        <w:tc>
          <w:tcPr>
            <w:tcW w:w="4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569"/>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08"/>
        </w:trPr>
        <w:tc>
          <w:tcPr>
            <w:tcW w:w="5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Jennifer Moyer</w:t>
            </w:r>
          </w:p>
        </w:tc>
        <w:tc>
          <w:tcPr>
            <w:tcW w:w="4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569"/>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6"/>
              </w:rPr>
              <w:t>Chief Technology Officer and Director</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08"/>
        </w:trPr>
        <w:tc>
          <w:tcPr>
            <w:tcW w:w="5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Eugene Nonko</w:t>
            </w:r>
          </w:p>
        </w:tc>
        <w:tc>
          <w:tcPr>
            <w:tcW w:w="4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20"/>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26"/>
        </w:trPr>
        <w:tc>
          <w:tcPr>
            <w:tcW w:w="52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 xml:space="preserve">Lara </w:t>
            </w:r>
            <w:r>
              <w:rPr>
                <w:rFonts w:ascii="Arial" w:cs="Arial" w:eastAsia="Arial" w:hAnsi="Arial"/>
                <w:sz w:val="18"/>
                <w:szCs w:val="18"/>
                <w:color w:val="auto"/>
                <w:w w:val="98"/>
              </w:rPr>
              <w:t>Sweet</w:t>
            </w:r>
          </w:p>
        </w:tc>
        <w:tc>
          <w:tcPr>
            <w:tcW w:w="43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02"/>
        </w:trPr>
        <w:tc>
          <w:tcPr>
            <w:tcW w:w="4800" w:type="dxa"/>
            <w:vAlign w:val="bottom"/>
            <w:gridSpan w:val="2"/>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372"/>
              <w:spacing w:after="0"/>
              <w:rPr>
                <w:sz w:val="20"/>
                <w:szCs w:val="20"/>
                <w:color w:val="auto"/>
              </w:rPr>
            </w:pPr>
            <w:r>
              <w:rPr>
                <w:rFonts w:ascii="Arial" w:cs="Arial" w:eastAsia="Arial" w:hAnsi="Arial"/>
                <w:sz w:val="18"/>
                <w:szCs w:val="18"/>
                <w:color w:val="auto"/>
                <w:w w:val="97"/>
              </w:rPr>
              <w:t>Chair of the Board of Directors</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 2021</w:t>
            </w:r>
          </w:p>
        </w:tc>
      </w:tr>
      <w:tr>
        <w:trPr>
          <w:trHeight w:val="217"/>
        </w:trPr>
        <w:tc>
          <w:tcPr>
            <w:tcW w:w="520" w:type="dxa"/>
            <w:vAlign w:val="bottom"/>
            <w:tcBorders>
              <w:bottom w:val="single" w:sz="8" w:color="auto"/>
            </w:tcBorders>
          </w:tcPr>
          <w:p>
            <w:pPr>
              <w:spacing w:after="0"/>
              <w:rPr>
                <w:sz w:val="18"/>
                <w:szCs w:val="18"/>
                <w:color w:val="auto"/>
              </w:rPr>
            </w:pPr>
          </w:p>
        </w:tc>
        <w:tc>
          <w:tcPr>
            <w:tcW w:w="4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Kathy Vrabeck</w:t>
            </w:r>
          </w:p>
        </w:tc>
        <w:tc>
          <w:tcPr>
            <w:tcW w:w="4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II-8</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lvl w:ilvl="1">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1)"/>
      <w:numFmt w:val="decimal"/>
      <w:start w:val="1"/>
    </w:lvl>
  </w:abstractNum>
  <w:abstractNum w:abstractNumId="20">
    <w:nsid w:val="25A70BF7"/>
    <w:multiLevelType w:val="hybridMultilevel"/>
    <w:lvl w:ilvl="0">
      <w:lvlJc w:val="left"/>
      <w:lvlText w:val="(%1)"/>
      <w:numFmt w:val="upperLetter"/>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1)"/>
      <w:numFmt w:val="decimal"/>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1)"/>
      <w:numFmt w:val="decimal"/>
      <w:start w:val="1"/>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
      <w:numFmt w:val="bullet"/>
      <w:start w:val="1"/>
    </w:lvl>
    <w:lvl w:ilvl="1">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1)"/>
      <w:numFmt w:val="lowerLetter"/>
      <w:start w:val="1"/>
    </w:lvl>
  </w:abstractNum>
  <w:abstractNum w:abstractNumId="71">
    <w:nsid w:val="46B7D447"/>
    <w:multiLevelType w:val="hybridMultilevel"/>
    <w:lvl w:ilvl="0">
      <w:lvlJc w:val="left"/>
      <w:lvlText w:val="(%1)"/>
      <w:numFmt w:val="lowerLetter"/>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1)"/>
      <w:numFmt w:val="decimal"/>
      <w:start w:val="2"/>
    </w:lvl>
  </w:abstractNum>
  <w:abstractNum w:abstractNumId="87">
    <w:nsid w:val="7672BD23"/>
    <w:multiLevelType w:val="hybridMultilevel"/>
    <w:lvl w:ilvl="0">
      <w:lvlJc w:val="left"/>
      <w:lvlText w:val="(%1)"/>
      <w:numFmt w:val="decimal"/>
      <w:start w:val="4"/>
    </w:lvl>
  </w:abstractNum>
  <w:abstractNum w:abstractNumId="88">
    <w:nsid w:val="6FC75AF8"/>
    <w:multiLevelType w:val="hybridMultilevel"/>
    <w:lvl w:ilvl="0">
      <w:lvlJc w:val="left"/>
      <w:lvlText w:val="(%1)"/>
      <w:numFmt w:val="lowerRoman"/>
      <w:start w:val="1"/>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lowerLetter"/>
      <w:start w:val="3"/>
    </w:lvl>
  </w:abstractNum>
  <w:abstractNum w:abstractNumId="91">
    <w:nsid w:val="5F3534A4"/>
    <w:multiLevelType w:val="hybridMultilevel"/>
    <w:lvl w:ilvl="0">
      <w:lvlJc w:val="left"/>
      <w:lvlText w:val="(%1)"/>
      <w:numFmt w:val="lowerLetter"/>
      <w:start w:val="1"/>
    </w:lvl>
  </w:abstractNum>
  <w:abstractNum w:abstractNumId="92">
    <w:nsid w:val="73A1821B"/>
    <w:multiLevelType w:val="hybridMultilevel"/>
    <w:lvl w:ilvl="0">
      <w:lvlJc w:val="left"/>
      <w:lvlText w:val="(%1)"/>
      <w:numFmt w:val="lowerLetter"/>
      <w:start w:val="1"/>
    </w:lvl>
  </w:abstractNum>
  <w:abstractNum w:abstractNumId="93">
    <w:nsid w:val="7DE67713"/>
    <w:multiLevelType w:val="hybridMultilevel"/>
    <w:lvl w:ilvl="0">
      <w:lvlJc w:val="left"/>
      <w:lvlText w:val="(%1)"/>
      <w:numFmt w:val="lowerRoman"/>
      <w:start w:val="1"/>
    </w:lvl>
  </w:abstractNum>
  <w:abstractNum w:abstractNumId="94">
    <w:nsid w:val="555C55B5"/>
    <w:multiLevelType w:val="hybridMultilevel"/>
    <w:lvl w:ilvl="0">
      <w:lvlJc w:val="left"/>
      <w:lvlText w:val="(%1)"/>
      <w:numFmt w:val="decimal"/>
      <w:start w:val="1"/>
    </w:lvl>
  </w:abstractNum>
  <w:abstractNum w:abstractNumId="95">
    <w:nsid w:val="3FA62ACA"/>
    <w:multiLevelType w:val="hybridMultilevel"/>
    <w:lvl w:ilvl="0">
      <w:lvlJc w:val="left"/>
      <w:lvlText w:val="%1"/>
      <w:numFmt w:val="decimal"/>
      <w:start w:val="755"/>
    </w:lvl>
  </w:abstractNum>
  <w:abstractNum w:abstractNumId="96">
    <w:nsid w:val="14FCE74E"/>
    <w:multiLevelType w:val="hybridMultilevel"/>
    <w:lvl w:ilvl="0">
      <w:lvlJc w:val="left"/>
      <w:lvlText w:val="%1"/>
      <w:numFmt w:val="decimal"/>
      <w:start w:val="319"/>
    </w:lvl>
  </w:abstractNum>
  <w:abstractNum w:abstractNumId="97">
    <w:nsid w:val="6A3DD3E8"/>
    <w:multiLevelType w:val="hybridMultilevel"/>
    <w:lvl w:ilvl="0">
      <w:lvlJc w:val="left"/>
      <w:lvlText w:val="(%1)"/>
      <w:numFmt w:val="decimal"/>
      <w:start w:val="162"/>
    </w:lvl>
  </w:abstractNum>
  <w:abstractNum w:abstractNumId="98">
    <w:nsid w:val="71C91298"/>
    <w:multiLevelType w:val="hybridMultilevel"/>
    <w:lvl w:ilvl="0">
      <w:lvlJc w:val="left"/>
      <w:lvlText w:val="(%1)"/>
      <w:numFmt w:val="decimal"/>
      <w:start w:val="294"/>
    </w:lvl>
  </w:abstractNum>
  <w:abstractNum w:abstractNumId="99">
    <w:nsid w:val="9DAF632"/>
    <w:multiLevelType w:val="hybridMultilevel"/>
    <w:lvl w:ilvl="0">
      <w:lvlJc w:val="left"/>
      <w:lvlText w:val="\emdash "/>
      <w:numFmt w:val="bullet"/>
      <w:start w:val="1"/>
    </w:lvl>
  </w:abstractNum>
  <w:abstractNum w:abstractNumId="100">
    <w:nsid w:val="53299938"/>
    <w:multiLevelType w:val="hybridMultilevel"/>
    <w:lvl w:ilvl="0">
      <w:lvlJc w:val="left"/>
      <w:lvlText w:val="•"/>
      <w:numFmt w:val="bullet"/>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lowerLetter"/>
      <w:start w:val="2"/>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2021-03-16T23:08:04Z</dcterms:created>
  <dcterms:modified xsi:type="dcterms:W3CDTF">2021-03-16T23:08:04Z</dcterms:modified>
</cp:coreProperties>
</file>