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293" w:lineRule="exact"/>
        <w:rPr>
          <w:sz w:val="24"/>
          <w:szCs w:val="24"/>
          <w:color w:val="auto"/>
        </w:rPr>
      </w:pPr>
    </w:p>
    <w:p>
      <w:pPr>
        <w:ind w:left="2840"/>
        <w:spacing w:after="0"/>
        <w:rPr>
          <w:sz w:val="20"/>
          <w:szCs w:val="20"/>
          <w:color w:val="auto"/>
        </w:rPr>
      </w:pPr>
      <w:r>
        <w:rPr>
          <w:rFonts w:ascii="Arial" w:cs="Arial" w:eastAsia="Arial" w:hAnsi="Arial"/>
          <w:sz w:val="17"/>
          <w:szCs w:val="17"/>
          <w:b w:val="1"/>
          <w:bCs w:val="1"/>
          <w:color w:val="auto"/>
        </w:rPr>
        <w:t>As filed with the Securities and Exchange Commission on November 9, 2020</w:t>
      </w:r>
    </w:p>
    <w:p>
      <w:pPr>
        <w:spacing w:after="0" w:line="152" w:lineRule="exact"/>
        <w:rPr>
          <w:sz w:val="24"/>
          <w:szCs w:val="24"/>
          <w:color w:val="auto"/>
        </w:rPr>
      </w:pPr>
    </w:p>
    <w:p>
      <w:pPr>
        <w:ind w:left="914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238760</wp:posOffset>
            </wp:positionH>
            <wp:positionV relativeFrom="paragraph">
              <wp:posOffset>83185</wp:posOffset>
            </wp:positionV>
            <wp:extent cx="6672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72580" cy="8255"/>
                    </a:xfrm>
                    <a:prstGeom prst="rect">
                      <a:avLst/>
                    </a:prstGeom>
                    <a:noFill/>
                  </pic:spPr>
                </pic:pic>
              </a:graphicData>
            </a:graphic>
          </wp:anchor>
        </w:drawing>
        <w:drawing>
          <wp:anchor simplePos="0" relativeHeight="251657728" behindDoc="1" locked="0" layoutInCell="0" allowOverlap="1">
            <wp:simplePos x="0" y="0"/>
            <wp:positionH relativeFrom="column">
              <wp:posOffset>238760</wp:posOffset>
            </wp:positionH>
            <wp:positionV relativeFrom="paragraph">
              <wp:posOffset>123825</wp:posOffset>
            </wp:positionV>
            <wp:extent cx="6672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72580" cy="8255"/>
                    </a:xfrm>
                    <a:prstGeom prst="rect">
                      <a:avLst/>
                    </a:prstGeom>
                    <a:noFill/>
                  </pic:spPr>
                </pic:pic>
              </a:graphicData>
            </a:graphic>
          </wp:anchor>
        </w:drawing>
      </w:r>
    </w:p>
    <w:p>
      <w:pPr>
        <w:spacing w:after="0" w:line="211" w:lineRule="exact"/>
        <w:rPr>
          <w:sz w:val="24"/>
          <w:szCs w:val="24"/>
          <w:color w:val="auto"/>
        </w:rPr>
      </w:pPr>
    </w:p>
    <w:p>
      <w:pPr>
        <w:jc w:val="center"/>
        <w:ind w:right="-419"/>
        <w:spacing w:after="0"/>
        <w:rPr>
          <w:sz w:val="20"/>
          <w:szCs w:val="20"/>
          <w:color w:val="auto"/>
        </w:rPr>
      </w:pPr>
      <w:r>
        <w:rPr>
          <w:rFonts w:ascii="Arial" w:cs="Arial" w:eastAsia="Arial" w:hAnsi="Arial"/>
          <w:sz w:val="31"/>
          <w:szCs w:val="31"/>
          <w:b w:val="1"/>
          <w:bCs w:val="1"/>
          <w:color w:val="auto"/>
        </w:rPr>
        <w:t>UNITED STATES</w:t>
      </w:r>
    </w:p>
    <w:p>
      <w:pPr>
        <w:spacing w:after="0" w:line="20" w:lineRule="exact"/>
        <w:rPr>
          <w:sz w:val="24"/>
          <w:szCs w:val="24"/>
          <w:color w:val="auto"/>
        </w:rPr>
      </w:pPr>
    </w:p>
    <w:p>
      <w:pPr>
        <w:jc w:val="center"/>
        <w:ind w:right="-41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41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151130</wp:posOffset>
            </wp:positionV>
            <wp:extent cx="13982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8270" cy="8255"/>
                    </a:xfrm>
                    <a:prstGeom prst="rect">
                      <a:avLst/>
                    </a:prstGeom>
                    <a:noFill/>
                  </pic:spPr>
                </pic:pic>
              </a:graphicData>
            </a:graphic>
          </wp:anchor>
        </w:drawing>
      </w:r>
    </w:p>
    <w:p>
      <w:pPr>
        <w:spacing w:after="0" w:line="332" w:lineRule="exact"/>
        <w:rPr>
          <w:sz w:val="24"/>
          <w:szCs w:val="24"/>
          <w:color w:val="auto"/>
        </w:rPr>
      </w:pPr>
    </w:p>
    <w:p>
      <w:pPr>
        <w:jc w:val="center"/>
        <w:ind w:right="-419"/>
        <w:spacing w:after="0"/>
        <w:rPr>
          <w:sz w:val="20"/>
          <w:szCs w:val="20"/>
          <w:color w:val="auto"/>
        </w:rPr>
      </w:pPr>
      <w:r>
        <w:rPr>
          <w:rFonts w:ascii="Arial" w:cs="Arial" w:eastAsia="Arial" w:hAnsi="Arial"/>
          <w:sz w:val="31"/>
          <w:szCs w:val="31"/>
          <w:b w:val="1"/>
          <w:bCs w:val="1"/>
          <w:color w:val="auto"/>
        </w:rPr>
        <w:t>FORM S-8</w:t>
      </w:r>
    </w:p>
    <w:p>
      <w:pPr>
        <w:spacing w:after="0" w:line="20" w:lineRule="exact"/>
        <w:rPr>
          <w:sz w:val="24"/>
          <w:szCs w:val="24"/>
          <w:color w:val="auto"/>
        </w:rPr>
      </w:pPr>
    </w:p>
    <w:p>
      <w:pPr>
        <w:jc w:val="center"/>
        <w:ind w:right="-419"/>
        <w:spacing w:after="0"/>
        <w:rPr>
          <w:sz w:val="20"/>
          <w:szCs w:val="20"/>
          <w:color w:val="auto"/>
        </w:rPr>
      </w:pPr>
      <w:r>
        <w:rPr>
          <w:rFonts w:ascii="Arial" w:cs="Arial" w:eastAsia="Arial" w:hAnsi="Arial"/>
          <w:sz w:val="31"/>
          <w:szCs w:val="31"/>
          <w:b w:val="1"/>
          <w:bCs w:val="1"/>
          <w:color w:val="auto"/>
        </w:rPr>
        <w:t>REGISTRATION STATEMENT</w:t>
      </w:r>
    </w:p>
    <w:p>
      <w:pPr>
        <w:jc w:val="center"/>
        <w:ind w:right="-419"/>
        <w:spacing w:after="0" w:line="230" w:lineRule="auto"/>
        <w:rPr>
          <w:sz w:val="20"/>
          <w:szCs w:val="20"/>
          <w:color w:val="auto"/>
        </w:rPr>
      </w:pPr>
      <w:r>
        <w:rPr>
          <w:rFonts w:ascii="Arial" w:cs="Arial" w:eastAsia="Arial" w:hAnsi="Arial"/>
          <w:sz w:val="21"/>
          <w:szCs w:val="21"/>
          <w:b w:val="1"/>
          <w:bCs w:val="1"/>
          <w:i w:val="1"/>
          <w:iCs w:val="1"/>
          <w:color w:val="auto"/>
        </w:rPr>
        <w:t>UNDER</w:t>
      </w:r>
    </w:p>
    <w:p>
      <w:pPr>
        <w:jc w:val="center"/>
        <w:ind w:right="-419"/>
        <w:spacing w:after="0"/>
        <w:rPr>
          <w:sz w:val="20"/>
          <w:szCs w:val="20"/>
          <w:color w:val="auto"/>
        </w:rPr>
      </w:pPr>
      <w:r>
        <w:rPr>
          <w:rFonts w:ascii="Arial" w:cs="Arial" w:eastAsia="Arial" w:hAnsi="Arial"/>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151130</wp:posOffset>
            </wp:positionV>
            <wp:extent cx="13982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8270" cy="8255"/>
                    </a:xfrm>
                    <a:prstGeom prst="rect">
                      <a:avLst/>
                    </a:prstGeom>
                    <a:noFill/>
                  </pic:spPr>
                </pic:pic>
              </a:graphicData>
            </a:graphic>
          </wp:anchor>
        </w:drawing>
      </w:r>
    </w:p>
    <w:p>
      <w:pPr>
        <w:spacing w:after="0" w:line="331" w:lineRule="exact"/>
        <w:rPr>
          <w:sz w:val="24"/>
          <w:szCs w:val="24"/>
          <w:color w:val="auto"/>
        </w:rPr>
      </w:pPr>
    </w:p>
    <w:p>
      <w:pPr>
        <w:jc w:val="center"/>
        <w:ind w:right="-419"/>
        <w:spacing w:after="0"/>
        <w:rPr>
          <w:sz w:val="20"/>
          <w:szCs w:val="20"/>
          <w:color w:val="auto"/>
        </w:rPr>
      </w:pPr>
      <w:r>
        <w:rPr>
          <w:rFonts w:ascii="Arial" w:cs="Arial" w:eastAsia="Arial" w:hAnsi="Arial"/>
          <w:sz w:val="41"/>
          <w:szCs w:val="41"/>
          <w:b w:val="1"/>
          <w:bCs w:val="1"/>
          <w:color w:val="auto"/>
        </w:rPr>
        <w:t>MediaAlpha, Inc.</w:t>
      </w:r>
    </w:p>
    <w:p>
      <w:pPr>
        <w:spacing w:after="0" w:line="48" w:lineRule="exact"/>
        <w:rPr>
          <w:sz w:val="24"/>
          <w:szCs w:val="24"/>
          <w:color w:val="auto"/>
        </w:rPr>
      </w:pPr>
    </w:p>
    <w:p>
      <w:pPr>
        <w:ind w:left="3720"/>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161290</wp:posOffset>
            </wp:positionV>
            <wp:extent cx="13982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827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tbl>
      <w:tblPr>
        <w:tblLayout w:type="fixed"/>
        <w:tblInd w:w="2120" w:type="dxa"/>
        <w:tblCellMar>
          <w:top w:w="0" w:type="dxa"/>
          <w:left w:w="0" w:type="dxa"/>
          <w:bottom w:w="0" w:type="dxa"/>
          <w:right w:w="0" w:type="dxa"/>
        </w:tblCellMar>
      </w:tblPr>
      <w:tr>
        <w:trPr>
          <w:trHeight w:val="202"/>
        </w:trPr>
        <w:tc>
          <w:tcPr>
            <w:tcW w:w="3740" w:type="dxa"/>
            <w:vAlign w:val="bottom"/>
          </w:tcPr>
          <w:p>
            <w:pPr>
              <w:jc w:val="center"/>
              <w:ind w:right="1866"/>
              <w:spacing w:after="0"/>
              <w:rPr>
                <w:sz w:val="20"/>
                <w:szCs w:val="20"/>
                <w:color w:val="auto"/>
              </w:rPr>
            </w:pPr>
            <w:r>
              <w:rPr>
                <w:rFonts w:ascii="Arial" w:cs="Arial" w:eastAsia="Arial" w:hAnsi="Arial"/>
                <w:sz w:val="17"/>
                <w:szCs w:val="17"/>
                <w:b w:val="1"/>
                <w:bCs w:val="1"/>
                <w:color w:val="auto"/>
                <w:w w:val="91"/>
              </w:rPr>
              <w:t>Delaware</w:t>
            </w:r>
          </w:p>
        </w:tc>
        <w:tc>
          <w:tcPr>
            <w:tcW w:w="3000" w:type="dxa"/>
            <w:vAlign w:val="bottom"/>
          </w:tcPr>
          <w:p>
            <w:pPr>
              <w:jc w:val="center"/>
              <w:ind w:left="1866"/>
              <w:spacing w:after="0"/>
              <w:rPr>
                <w:sz w:val="20"/>
                <w:szCs w:val="20"/>
                <w:color w:val="auto"/>
              </w:rPr>
            </w:pPr>
            <w:r>
              <w:rPr>
                <w:rFonts w:ascii="Arial" w:cs="Arial" w:eastAsia="Arial" w:hAnsi="Arial"/>
                <w:sz w:val="17"/>
                <w:szCs w:val="17"/>
                <w:b w:val="1"/>
                <w:bCs w:val="1"/>
                <w:color w:val="auto"/>
                <w:w w:val="90"/>
              </w:rPr>
              <w:t>85-1854133</w:t>
            </w:r>
          </w:p>
        </w:tc>
      </w:tr>
      <w:tr>
        <w:trPr>
          <w:trHeight w:val="142"/>
        </w:trPr>
        <w:tc>
          <w:tcPr>
            <w:tcW w:w="3740" w:type="dxa"/>
            <w:vAlign w:val="bottom"/>
          </w:tcPr>
          <w:p>
            <w:pPr>
              <w:jc w:val="center"/>
              <w:ind w:right="1866"/>
              <w:spacing w:after="0" w:line="142" w:lineRule="exact"/>
              <w:rPr>
                <w:sz w:val="20"/>
                <w:szCs w:val="20"/>
                <w:color w:val="auto"/>
              </w:rPr>
            </w:pPr>
            <w:r>
              <w:rPr>
                <w:rFonts w:ascii="Arial" w:cs="Arial" w:eastAsia="Arial" w:hAnsi="Arial"/>
                <w:sz w:val="14"/>
                <w:szCs w:val="14"/>
                <w:b w:val="1"/>
                <w:bCs w:val="1"/>
                <w:color w:val="auto"/>
                <w:w w:val="89"/>
              </w:rPr>
              <w:t>(State or other jurisdiction of</w:t>
            </w:r>
          </w:p>
        </w:tc>
        <w:tc>
          <w:tcPr>
            <w:tcW w:w="3000" w:type="dxa"/>
            <w:vAlign w:val="bottom"/>
          </w:tcPr>
          <w:p>
            <w:pPr>
              <w:jc w:val="center"/>
              <w:ind w:left="1866"/>
              <w:spacing w:after="0" w:line="142" w:lineRule="exact"/>
              <w:rPr>
                <w:sz w:val="20"/>
                <w:szCs w:val="20"/>
                <w:color w:val="auto"/>
              </w:rPr>
            </w:pPr>
            <w:r>
              <w:rPr>
                <w:rFonts w:ascii="Arial" w:cs="Arial" w:eastAsia="Arial" w:hAnsi="Arial"/>
                <w:sz w:val="14"/>
                <w:szCs w:val="14"/>
                <w:b w:val="1"/>
                <w:bCs w:val="1"/>
                <w:color w:val="auto"/>
                <w:w w:val="91"/>
              </w:rPr>
              <w:t>(I.R.S. Employer</w:t>
            </w:r>
          </w:p>
        </w:tc>
      </w:tr>
      <w:tr>
        <w:trPr>
          <w:trHeight w:val="178"/>
        </w:trPr>
        <w:tc>
          <w:tcPr>
            <w:tcW w:w="3740" w:type="dxa"/>
            <w:vAlign w:val="bottom"/>
          </w:tcPr>
          <w:p>
            <w:pPr>
              <w:jc w:val="center"/>
              <w:ind w:right="1866"/>
              <w:spacing w:after="0"/>
              <w:rPr>
                <w:sz w:val="20"/>
                <w:szCs w:val="20"/>
                <w:color w:val="auto"/>
              </w:rPr>
            </w:pPr>
            <w:r>
              <w:rPr>
                <w:rFonts w:ascii="Arial" w:cs="Arial" w:eastAsia="Arial" w:hAnsi="Arial"/>
                <w:sz w:val="14"/>
                <w:szCs w:val="14"/>
                <w:b w:val="1"/>
                <w:bCs w:val="1"/>
                <w:color w:val="auto"/>
                <w:w w:val="90"/>
              </w:rPr>
              <w:t>incorporation or organization)</w:t>
            </w:r>
          </w:p>
        </w:tc>
        <w:tc>
          <w:tcPr>
            <w:tcW w:w="3000" w:type="dxa"/>
            <w:vAlign w:val="bottom"/>
          </w:tcPr>
          <w:p>
            <w:pPr>
              <w:jc w:val="center"/>
              <w:ind w:left="186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22" w:lineRule="exact"/>
        <w:rPr>
          <w:sz w:val="24"/>
          <w:szCs w:val="24"/>
          <w:color w:val="auto"/>
        </w:rPr>
      </w:pPr>
    </w:p>
    <w:p>
      <w:pPr>
        <w:jc w:val="center"/>
        <w:ind w:right="-419"/>
        <w:spacing w:after="0"/>
        <w:rPr>
          <w:sz w:val="20"/>
          <w:szCs w:val="20"/>
          <w:color w:val="auto"/>
        </w:rPr>
      </w:pPr>
      <w:r>
        <w:rPr>
          <w:rFonts w:ascii="Arial" w:cs="Arial" w:eastAsia="Arial" w:hAnsi="Arial"/>
          <w:sz w:val="17"/>
          <w:szCs w:val="17"/>
          <w:b w:val="1"/>
          <w:bCs w:val="1"/>
          <w:color w:val="auto"/>
        </w:rPr>
        <w:t>700 South Flower Street, Suite 640</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7"/>
          <w:szCs w:val="17"/>
          <w:b w:val="1"/>
          <w:bCs w:val="1"/>
          <w:color w:val="auto"/>
        </w:rPr>
        <w:t>Los Angeles, California 90017</w:t>
      </w:r>
    </w:p>
    <w:p>
      <w:pPr>
        <w:spacing w:after="0" w:line="11" w:lineRule="exact"/>
        <w:rPr>
          <w:sz w:val="24"/>
          <w:szCs w:val="24"/>
          <w:color w:val="auto"/>
        </w:rPr>
      </w:pPr>
    </w:p>
    <w:p>
      <w:pPr>
        <w:jc w:val="center"/>
        <w:ind w:right="-419"/>
        <w:spacing w:after="0"/>
        <w:rPr>
          <w:sz w:val="20"/>
          <w:szCs w:val="20"/>
          <w:color w:val="auto"/>
        </w:rPr>
      </w:pPr>
      <w:r>
        <w:rPr>
          <w:rFonts w:ascii="Arial" w:cs="Arial" w:eastAsia="Arial" w:hAnsi="Arial"/>
          <w:sz w:val="17"/>
          <w:szCs w:val="17"/>
          <w:b w:val="1"/>
          <w:bCs w:val="1"/>
          <w:color w:val="auto"/>
        </w:rPr>
        <w:t>(213) 316-6256</w:t>
      </w:r>
    </w:p>
    <w:p>
      <w:pPr>
        <w:spacing w:after="0" w:line="6"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97" w:lineRule="exact"/>
        <w:rPr>
          <w:sz w:val="24"/>
          <w:szCs w:val="24"/>
          <w:color w:val="auto"/>
        </w:rPr>
      </w:pPr>
    </w:p>
    <w:p>
      <w:pPr>
        <w:jc w:val="center"/>
        <w:ind w:right="-419"/>
        <w:spacing w:after="0"/>
        <w:rPr>
          <w:sz w:val="20"/>
          <w:szCs w:val="20"/>
          <w:color w:val="auto"/>
        </w:rPr>
      </w:pPr>
      <w:r>
        <w:rPr>
          <w:rFonts w:ascii="Arial" w:cs="Arial" w:eastAsia="Arial" w:hAnsi="Arial"/>
          <w:sz w:val="17"/>
          <w:szCs w:val="17"/>
          <w:b w:val="1"/>
          <w:bCs w:val="1"/>
          <w:color w:val="auto"/>
        </w:rPr>
        <w:t>MediaAlpha, Inc. 2020 Omnibus Incentive Plan</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7"/>
          <w:szCs w:val="17"/>
          <w:b w:val="1"/>
          <w:bCs w:val="1"/>
          <w:color w:val="auto"/>
        </w:rPr>
        <w:t>Amended and Restated QL Holdings LLC Class B Restricted Unit Plan</w:t>
      </w:r>
    </w:p>
    <w:p>
      <w:pPr>
        <w:spacing w:after="0" w:line="11" w:lineRule="exact"/>
        <w:rPr>
          <w:sz w:val="24"/>
          <w:szCs w:val="24"/>
          <w:color w:val="auto"/>
        </w:rPr>
      </w:pPr>
    </w:p>
    <w:p>
      <w:pPr>
        <w:jc w:val="center"/>
        <w:ind w:right="-419"/>
        <w:spacing w:after="0"/>
        <w:rPr>
          <w:sz w:val="20"/>
          <w:szCs w:val="20"/>
          <w:color w:val="auto"/>
        </w:rPr>
      </w:pPr>
      <w:r>
        <w:rPr>
          <w:rFonts w:ascii="Arial" w:cs="Arial" w:eastAsia="Arial" w:hAnsi="Arial"/>
          <w:sz w:val="17"/>
          <w:szCs w:val="17"/>
          <w:b w:val="1"/>
          <w:bCs w:val="1"/>
          <w:color w:val="auto"/>
        </w:rPr>
        <w:t>QL Holdings LLC Class B Restricted Unit Plan</w:t>
      </w:r>
    </w:p>
    <w:p>
      <w:pPr>
        <w:spacing w:after="0" w:line="6"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(Full title of the plan)</w:t>
      </w:r>
    </w:p>
    <w:p>
      <w:pPr>
        <w:spacing w:after="0" w:line="110" w:lineRule="exact"/>
        <w:rPr>
          <w:sz w:val="24"/>
          <w:szCs w:val="24"/>
          <w:color w:val="auto"/>
        </w:rPr>
      </w:pPr>
    </w:p>
    <w:p>
      <w:pPr>
        <w:jc w:val="center"/>
        <w:ind w:right="-419"/>
        <w:spacing w:after="0"/>
        <w:rPr>
          <w:sz w:val="20"/>
          <w:szCs w:val="20"/>
          <w:color w:val="auto"/>
        </w:rPr>
      </w:pPr>
      <w:r>
        <w:rPr>
          <w:rFonts w:ascii="Arial" w:cs="Arial" w:eastAsia="Arial" w:hAnsi="Arial"/>
          <w:sz w:val="17"/>
          <w:szCs w:val="17"/>
          <w:b w:val="1"/>
          <w:bCs w:val="1"/>
          <w:color w:val="auto"/>
        </w:rPr>
        <w:t>Lance Martinez</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7"/>
          <w:szCs w:val="17"/>
          <w:b w:val="1"/>
          <w:bCs w:val="1"/>
          <w:color w:val="auto"/>
        </w:rPr>
        <w:t>General Counsel and Secretary</w:t>
      </w:r>
    </w:p>
    <w:p>
      <w:pPr>
        <w:spacing w:after="0" w:line="11" w:lineRule="exact"/>
        <w:rPr>
          <w:sz w:val="24"/>
          <w:szCs w:val="24"/>
          <w:color w:val="auto"/>
        </w:rPr>
      </w:pPr>
    </w:p>
    <w:p>
      <w:pPr>
        <w:jc w:val="center"/>
        <w:ind w:right="-419"/>
        <w:spacing w:after="0"/>
        <w:rPr>
          <w:sz w:val="20"/>
          <w:szCs w:val="20"/>
          <w:color w:val="auto"/>
        </w:rPr>
      </w:pPr>
      <w:r>
        <w:rPr>
          <w:rFonts w:ascii="Arial" w:cs="Arial" w:eastAsia="Arial" w:hAnsi="Arial"/>
          <w:sz w:val="17"/>
          <w:szCs w:val="17"/>
          <w:b w:val="1"/>
          <w:bCs w:val="1"/>
          <w:color w:val="auto"/>
        </w:rPr>
        <w:t>MediaAlpha, Inc.</w:t>
      </w:r>
    </w:p>
    <w:p>
      <w:pPr>
        <w:spacing w:after="0" w:line="11" w:lineRule="exact"/>
        <w:rPr>
          <w:sz w:val="24"/>
          <w:szCs w:val="24"/>
          <w:color w:val="auto"/>
        </w:rPr>
      </w:pPr>
    </w:p>
    <w:p>
      <w:pPr>
        <w:jc w:val="center"/>
        <w:ind w:right="-419"/>
        <w:spacing w:after="0"/>
        <w:rPr>
          <w:sz w:val="20"/>
          <w:szCs w:val="20"/>
          <w:color w:val="auto"/>
        </w:rPr>
      </w:pPr>
      <w:r>
        <w:rPr>
          <w:rFonts w:ascii="Arial" w:cs="Arial" w:eastAsia="Arial" w:hAnsi="Arial"/>
          <w:sz w:val="17"/>
          <w:szCs w:val="17"/>
          <w:b w:val="1"/>
          <w:bCs w:val="1"/>
          <w:color w:val="auto"/>
        </w:rPr>
        <w:t>700 South Flower Street, Suite 640</w:t>
      </w:r>
    </w:p>
    <w:p>
      <w:pPr>
        <w:spacing w:after="0" w:line="11" w:lineRule="exact"/>
        <w:rPr>
          <w:sz w:val="24"/>
          <w:szCs w:val="24"/>
          <w:color w:val="auto"/>
        </w:rPr>
      </w:pPr>
    </w:p>
    <w:p>
      <w:pPr>
        <w:jc w:val="center"/>
        <w:ind w:right="-419"/>
        <w:spacing w:after="0"/>
        <w:rPr>
          <w:sz w:val="20"/>
          <w:szCs w:val="20"/>
          <w:color w:val="auto"/>
        </w:rPr>
      </w:pPr>
      <w:r>
        <w:rPr>
          <w:rFonts w:ascii="Arial" w:cs="Arial" w:eastAsia="Arial" w:hAnsi="Arial"/>
          <w:sz w:val="17"/>
          <w:szCs w:val="17"/>
          <w:b w:val="1"/>
          <w:bCs w:val="1"/>
          <w:color w:val="auto"/>
        </w:rPr>
        <w:t>Los Angeles, California 90017</w:t>
      </w:r>
    </w:p>
    <w:p>
      <w:pPr>
        <w:spacing w:after="0" w:line="11" w:lineRule="exact"/>
        <w:rPr>
          <w:sz w:val="24"/>
          <w:szCs w:val="24"/>
          <w:color w:val="auto"/>
        </w:rPr>
      </w:pPr>
    </w:p>
    <w:p>
      <w:pPr>
        <w:jc w:val="center"/>
        <w:ind w:right="-419"/>
        <w:spacing w:after="0"/>
        <w:rPr>
          <w:sz w:val="20"/>
          <w:szCs w:val="20"/>
          <w:color w:val="auto"/>
        </w:rPr>
      </w:pPr>
      <w:r>
        <w:rPr>
          <w:rFonts w:ascii="Arial" w:cs="Arial" w:eastAsia="Arial" w:hAnsi="Arial"/>
          <w:sz w:val="17"/>
          <w:szCs w:val="17"/>
          <w:b w:val="1"/>
          <w:bCs w:val="1"/>
          <w:color w:val="auto"/>
        </w:rPr>
        <w:t>Telephone: (213) 316-6256</w:t>
      </w:r>
    </w:p>
    <w:p>
      <w:pPr>
        <w:spacing w:after="0" w:line="6"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116" w:lineRule="exact"/>
        <w:rPr>
          <w:sz w:val="24"/>
          <w:szCs w:val="24"/>
          <w:color w:val="auto"/>
        </w:rPr>
      </w:pPr>
    </w:p>
    <w:p>
      <w:pPr>
        <w:jc w:val="center"/>
        <w:ind w:right="-419"/>
        <w:spacing w:after="0"/>
        <w:rPr>
          <w:sz w:val="20"/>
          <w:szCs w:val="20"/>
          <w:color w:val="auto"/>
        </w:rPr>
      </w:pPr>
      <w:r>
        <w:rPr>
          <w:rFonts w:ascii="Arial" w:cs="Arial" w:eastAsia="Arial" w:hAnsi="Arial"/>
          <w:sz w:val="17"/>
          <w:szCs w:val="17"/>
          <w:b w:val="1"/>
          <w:bCs w:val="1"/>
          <w:i w:val="1"/>
          <w:iCs w:val="1"/>
          <w:color w:val="auto"/>
        </w:rPr>
        <w:t>Copies to:</w:t>
      </w:r>
    </w:p>
    <w:p>
      <w:pPr>
        <w:spacing w:after="0" w:line="133" w:lineRule="exact"/>
        <w:rPr>
          <w:sz w:val="24"/>
          <w:szCs w:val="24"/>
          <w:color w:val="auto"/>
        </w:rPr>
      </w:pPr>
    </w:p>
    <w:p>
      <w:pPr>
        <w:jc w:val="center"/>
        <w:ind w:right="-419"/>
        <w:spacing w:after="0"/>
        <w:rPr>
          <w:sz w:val="20"/>
          <w:szCs w:val="20"/>
          <w:color w:val="auto"/>
        </w:rPr>
      </w:pPr>
      <w:r>
        <w:rPr>
          <w:rFonts w:ascii="Arial" w:cs="Arial" w:eastAsia="Arial" w:hAnsi="Arial"/>
          <w:sz w:val="17"/>
          <w:szCs w:val="17"/>
          <w:b w:val="1"/>
          <w:bCs w:val="1"/>
          <w:color w:val="auto"/>
        </w:rPr>
        <w:t>C. Daniel Haaren, Esq.</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7"/>
          <w:szCs w:val="17"/>
          <w:b w:val="1"/>
          <w:bCs w:val="1"/>
          <w:color w:val="auto"/>
        </w:rPr>
        <w:t>Cravath, Swaine &amp; Moore LLP</w:t>
      </w:r>
    </w:p>
    <w:p>
      <w:pPr>
        <w:spacing w:after="0" w:line="11" w:lineRule="exact"/>
        <w:rPr>
          <w:sz w:val="24"/>
          <w:szCs w:val="24"/>
          <w:color w:val="auto"/>
        </w:rPr>
      </w:pPr>
    </w:p>
    <w:p>
      <w:pPr>
        <w:jc w:val="center"/>
        <w:ind w:right="-419"/>
        <w:spacing w:after="0"/>
        <w:rPr>
          <w:sz w:val="20"/>
          <w:szCs w:val="20"/>
          <w:color w:val="auto"/>
        </w:rPr>
      </w:pPr>
      <w:r>
        <w:rPr>
          <w:rFonts w:ascii="Arial" w:cs="Arial" w:eastAsia="Arial" w:hAnsi="Arial"/>
          <w:sz w:val="17"/>
          <w:szCs w:val="17"/>
          <w:b w:val="1"/>
          <w:bCs w:val="1"/>
          <w:color w:val="auto"/>
        </w:rPr>
        <w:t>825 Eighth Avenue</w:t>
      </w:r>
    </w:p>
    <w:p>
      <w:pPr>
        <w:spacing w:after="0" w:line="11" w:lineRule="exact"/>
        <w:rPr>
          <w:sz w:val="24"/>
          <w:szCs w:val="24"/>
          <w:color w:val="auto"/>
        </w:rPr>
      </w:pPr>
    </w:p>
    <w:p>
      <w:pPr>
        <w:jc w:val="center"/>
        <w:ind w:right="-419"/>
        <w:spacing w:after="0"/>
        <w:rPr>
          <w:sz w:val="20"/>
          <w:szCs w:val="20"/>
          <w:color w:val="auto"/>
        </w:rPr>
      </w:pPr>
      <w:r>
        <w:rPr>
          <w:rFonts w:ascii="Arial" w:cs="Arial" w:eastAsia="Arial" w:hAnsi="Arial"/>
          <w:sz w:val="17"/>
          <w:szCs w:val="17"/>
          <w:b w:val="1"/>
          <w:bCs w:val="1"/>
          <w:color w:val="auto"/>
        </w:rPr>
        <w:t>New York, New York 10019</w:t>
      </w:r>
    </w:p>
    <w:p>
      <w:pPr>
        <w:spacing w:after="0" w:line="11" w:lineRule="exact"/>
        <w:rPr>
          <w:sz w:val="24"/>
          <w:szCs w:val="24"/>
          <w:color w:val="auto"/>
        </w:rPr>
      </w:pPr>
    </w:p>
    <w:p>
      <w:pPr>
        <w:jc w:val="center"/>
        <w:ind w:right="-419"/>
        <w:spacing w:after="0"/>
        <w:rPr>
          <w:sz w:val="20"/>
          <w:szCs w:val="20"/>
          <w:color w:val="auto"/>
        </w:rPr>
      </w:pPr>
      <w:r>
        <w:rPr>
          <w:rFonts w:ascii="Arial" w:cs="Arial" w:eastAsia="Arial" w:hAnsi="Arial"/>
          <w:sz w:val="17"/>
          <w:szCs w:val="17"/>
          <w:b w:val="1"/>
          <w:bCs w:val="1"/>
          <w:color w:val="auto"/>
        </w:rPr>
        <w:t>Telephone: (212) 474-1322</w:t>
      </w:r>
    </w:p>
    <w:p>
      <w:pPr>
        <w:spacing w:after="0" w:line="11" w:lineRule="exact"/>
        <w:rPr>
          <w:sz w:val="24"/>
          <w:szCs w:val="24"/>
          <w:color w:val="auto"/>
        </w:rPr>
      </w:pPr>
    </w:p>
    <w:p>
      <w:pPr>
        <w:jc w:val="center"/>
        <w:ind w:right="-419"/>
        <w:spacing w:after="0"/>
        <w:rPr>
          <w:sz w:val="20"/>
          <w:szCs w:val="20"/>
          <w:color w:val="auto"/>
        </w:rPr>
      </w:pPr>
      <w:r>
        <w:rPr>
          <w:rFonts w:ascii="Arial" w:cs="Arial" w:eastAsia="Arial" w:hAnsi="Arial"/>
          <w:sz w:val="17"/>
          <w:szCs w:val="17"/>
          <w:b w:val="1"/>
          <w:bCs w:val="1"/>
          <w:color w:val="auto"/>
        </w:rPr>
        <w:t>Telecopy: (212) 474-3700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2872105</wp:posOffset>
            </wp:positionH>
            <wp:positionV relativeFrom="paragraph">
              <wp:posOffset>171450</wp:posOffset>
            </wp:positionV>
            <wp:extent cx="13982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98270" cy="8255"/>
                    </a:xfrm>
                    <a:prstGeom prst="rect">
                      <a:avLst/>
                    </a:prstGeom>
                    <a:noFill/>
                  </pic:spPr>
                </pic:pic>
              </a:graphicData>
            </a:graphic>
          </wp:anchor>
        </w:drawing>
      </w:r>
    </w:p>
    <w:p>
      <w:pPr>
        <w:spacing w:after="0" w:line="379" w:lineRule="exact"/>
        <w:rPr>
          <w:sz w:val="24"/>
          <w:szCs w:val="24"/>
          <w:color w:val="auto"/>
        </w:rPr>
      </w:pPr>
    </w:p>
    <w:p>
      <w:pPr>
        <w:ind w:left="380" w:right="60"/>
        <w:spacing w:after="0" w:line="26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or an emerging growth company. See definitions of “large accelerated filer,” “accelerated filer,” “smaller reporting company,” and “emerging growth company” in Rule 12b-2 of the Securities Exchange Act of 1934, as amended (the “Exchange Act”).</w:t>
      </w:r>
    </w:p>
    <w:p>
      <w:pPr>
        <w:spacing w:after="0" w:line="77" w:lineRule="exact"/>
        <w:rPr>
          <w:sz w:val="24"/>
          <w:szCs w:val="24"/>
          <w:color w:val="auto"/>
        </w:rPr>
      </w:pPr>
    </w:p>
    <w:tbl>
      <w:tblPr>
        <w:tblLayout w:type="fixed"/>
        <w:tblInd w:w="380" w:type="dxa"/>
        <w:tblCellMar>
          <w:top w:w="0" w:type="dxa"/>
          <w:left w:w="0" w:type="dxa"/>
          <w:bottom w:w="0" w:type="dxa"/>
          <w:right w:w="0" w:type="dxa"/>
        </w:tblCellMar>
      </w:tblPr>
      <w:tr>
        <w:trPr>
          <w:trHeight w:val="269"/>
        </w:trPr>
        <w:tc>
          <w:tcPr>
            <w:tcW w:w="20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14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4900" w:type="dxa"/>
            <w:vAlign w:val="bottom"/>
          </w:tcPr>
          <w:p>
            <w:pPr>
              <w:ind w:left="2800"/>
              <w:spacing w:after="0"/>
              <w:rPr>
                <w:sz w:val="20"/>
                <w:szCs w:val="20"/>
                <w:color w:val="auto"/>
              </w:rPr>
            </w:pPr>
            <w:r>
              <w:rPr>
                <w:rFonts w:ascii="Arial" w:cs="Arial" w:eastAsia="Arial" w:hAnsi="Arial"/>
                <w:sz w:val="17"/>
                <w:szCs w:val="17"/>
                <w:color w:val="auto"/>
              </w:rPr>
              <w:t>Accelerated filer</w:t>
            </w:r>
          </w:p>
        </w:tc>
        <w:tc>
          <w:tcPr>
            <w:tcW w:w="360" w:type="dxa"/>
            <w:vAlign w:val="bottom"/>
          </w:tcPr>
          <w:p>
            <w:pPr>
              <w:ind w:left="22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309"/>
        </w:trPr>
        <w:tc>
          <w:tcPr>
            <w:tcW w:w="2040" w:type="dxa"/>
            <w:vAlign w:val="bottom"/>
          </w:tcPr>
          <w:p>
            <w:pPr>
              <w:spacing w:after="0"/>
              <w:rPr>
                <w:sz w:val="20"/>
                <w:szCs w:val="20"/>
                <w:color w:val="auto"/>
              </w:rPr>
            </w:pPr>
            <w:r>
              <w:rPr>
                <w:rFonts w:ascii="Arial" w:cs="Arial" w:eastAsia="Arial" w:hAnsi="Arial"/>
                <w:sz w:val="17"/>
                <w:szCs w:val="17"/>
                <w:color w:val="auto"/>
              </w:rPr>
              <w:t>Non-accelerated filer</w:t>
            </w:r>
          </w:p>
        </w:tc>
        <w:tc>
          <w:tcPr>
            <w:tcW w:w="314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4900" w:type="dxa"/>
            <w:vAlign w:val="bottom"/>
          </w:tcPr>
          <w:p>
            <w:pPr>
              <w:ind w:left="2800"/>
              <w:spacing w:after="0"/>
              <w:rPr>
                <w:sz w:val="20"/>
                <w:szCs w:val="20"/>
                <w:color w:val="auto"/>
              </w:rPr>
            </w:pPr>
            <w:r>
              <w:rPr>
                <w:rFonts w:ascii="Arial" w:cs="Arial" w:eastAsia="Arial" w:hAnsi="Arial"/>
                <w:sz w:val="17"/>
                <w:szCs w:val="17"/>
                <w:color w:val="auto"/>
              </w:rPr>
              <w:t>Smaller reporting company</w:t>
            </w:r>
          </w:p>
        </w:tc>
        <w:tc>
          <w:tcPr>
            <w:tcW w:w="360" w:type="dxa"/>
            <w:vAlign w:val="bottom"/>
          </w:tcPr>
          <w:p>
            <w:pPr>
              <w:ind w:left="22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309"/>
        </w:trPr>
        <w:tc>
          <w:tcPr>
            <w:tcW w:w="2040" w:type="dxa"/>
            <w:vAlign w:val="bottom"/>
          </w:tcPr>
          <w:p>
            <w:pPr>
              <w:spacing w:after="0"/>
              <w:rPr>
                <w:sz w:val="20"/>
                <w:szCs w:val="20"/>
                <w:color w:val="auto"/>
              </w:rPr>
            </w:pPr>
            <w:r>
              <w:rPr>
                <w:rFonts w:ascii="Arial" w:cs="Arial" w:eastAsia="Arial" w:hAnsi="Arial"/>
                <w:sz w:val="17"/>
                <w:szCs w:val="17"/>
                <w:color w:val="auto"/>
                <w:w w:val="99"/>
              </w:rPr>
              <w:t>Emerging growth company</w:t>
            </w:r>
          </w:p>
        </w:tc>
        <w:tc>
          <w:tcPr>
            <w:tcW w:w="314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49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11" w:lineRule="exact"/>
        <w:rPr>
          <w:sz w:val="24"/>
          <w:szCs w:val="24"/>
          <w:color w:val="auto"/>
        </w:rPr>
      </w:pPr>
    </w:p>
    <w:p>
      <w:pPr>
        <w:ind w:left="380" w:right="220"/>
        <w:spacing w:after="0" w:line="21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of 1933, as amended (the “Securities Act”). </w:t>
      </w:r>
      <w:r>
        <w:rPr>
          <w:rFonts w:ascii="MS PGothic" w:cs="MS PGothic" w:eastAsia="MS PGothic" w:hAnsi="MS PGothic"/>
          <w:sz w:val="17"/>
          <w:szCs w:val="17"/>
          <w:color w:val="auto"/>
        </w:rPr>
        <w:t>☐</w:t>
      </w:r>
    </w:p>
    <w:p>
      <w:pPr>
        <w:sectPr>
          <w:pgSz w:w="11900" w:h="16838" w:orient="portrait"/>
          <w:cols w:equalWidth="0" w:num="1">
            <w:col w:w="10820"/>
          </w:cols>
          <w:pgMar w:left="320" w:top="225" w:right="759" w:bottom="1440" w:gutter="0" w:footer="0" w:header="0"/>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2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5180" cy="24765"/>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2872105</wp:posOffset>
            </wp:positionH>
            <wp:positionV relativeFrom="paragraph">
              <wp:posOffset>271780</wp:posOffset>
            </wp:positionV>
            <wp:extent cx="13982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98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CALCULATION OF REGISTRATION FEE</w:t>
      </w:r>
    </w:p>
    <w:p>
      <w:pPr>
        <w:spacing w:after="0" w:line="27" w:lineRule="exact"/>
        <w:rPr>
          <w:sz w:val="20"/>
          <w:szCs w:val="20"/>
          <w:color w:val="auto"/>
        </w:rPr>
      </w:pPr>
    </w:p>
    <w:tbl>
      <w:tblPr>
        <w:tblLayout w:type="fixed"/>
        <w:tblInd w:w="38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640" w:type="dxa"/>
            <w:vAlign w:val="bottom"/>
            <w:tcBorders>
              <w:top w:val="single" w:sz="8" w:color="auto"/>
              <w:right w:val="single" w:sz="8" w:color="auto"/>
            </w:tcBorders>
          </w:tcPr>
          <w:p>
            <w:pPr>
              <w:spacing w:after="0"/>
              <w:rPr>
                <w:sz w:val="12"/>
                <w:szCs w:val="12"/>
                <w:color w:val="auto"/>
              </w:rPr>
            </w:pPr>
          </w:p>
        </w:tc>
        <w:tc>
          <w:tcPr>
            <w:tcW w:w="1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Amount</w:t>
            </w:r>
          </w:p>
        </w:tc>
        <w:tc>
          <w:tcPr>
            <w:tcW w:w="146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86"/>
              </w:rPr>
              <w:t>Proposed</w:t>
            </w:r>
          </w:p>
        </w:tc>
        <w:tc>
          <w:tcPr>
            <w:tcW w:w="148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83"/>
              </w:rPr>
              <w:t>Proposed</w:t>
            </w:r>
          </w:p>
        </w:tc>
        <w:tc>
          <w:tcPr>
            <w:tcW w:w="14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7"/>
              </w:rPr>
              <w:t>Title of Securities</w:t>
            </w:r>
          </w:p>
        </w:tc>
        <w:tc>
          <w:tcPr>
            <w:tcW w:w="1460" w:type="dxa"/>
            <w:vAlign w:val="bottom"/>
            <w:tcBorders>
              <w:right w:val="single" w:sz="8" w:color="auto"/>
            </w:tcBorders>
            <w:vMerge w:val="continue"/>
          </w:tcPr>
          <w:p>
            <w:pPr>
              <w:spacing w:after="0"/>
              <w:rPr>
                <w:sz w:val="12"/>
                <w:szCs w:val="12"/>
                <w:color w:val="auto"/>
              </w:rPr>
            </w:pPr>
          </w:p>
        </w:tc>
        <w:tc>
          <w:tcPr>
            <w:tcW w:w="146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Maximum</w:t>
            </w:r>
          </w:p>
        </w:tc>
        <w:tc>
          <w:tcPr>
            <w:tcW w:w="148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Maximum</w:t>
            </w:r>
          </w:p>
        </w:tc>
        <w:tc>
          <w:tcPr>
            <w:tcW w:w="1440" w:type="dxa"/>
            <w:vAlign w:val="bottom"/>
            <w:vMerge w:val="restart"/>
          </w:tcPr>
          <w:p>
            <w:pPr>
              <w:jc w:val="center"/>
              <w:ind w:left="6"/>
              <w:spacing w:after="0"/>
              <w:rPr>
                <w:sz w:val="20"/>
                <w:szCs w:val="20"/>
                <w:color w:val="auto"/>
              </w:rPr>
            </w:pPr>
            <w:r>
              <w:rPr>
                <w:rFonts w:ascii="Arial" w:cs="Arial" w:eastAsia="Arial" w:hAnsi="Arial"/>
                <w:sz w:val="14"/>
                <w:szCs w:val="14"/>
                <w:b w:val="1"/>
                <w:bCs w:val="1"/>
                <w:color w:val="auto"/>
                <w:w w:val="91"/>
              </w:rPr>
              <w:t>Amount of</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Borders>
              <w:right w:val="single" w:sz="8" w:color="auto"/>
            </w:tcBorders>
            <w:vMerge w:val="continue"/>
          </w:tcPr>
          <w:p>
            <w:pPr>
              <w:spacing w:after="0"/>
              <w:rPr>
                <w:sz w:val="12"/>
                <w:szCs w:val="12"/>
                <w:color w:val="auto"/>
              </w:rPr>
            </w:pPr>
          </w:p>
        </w:tc>
        <w:tc>
          <w:tcPr>
            <w:tcW w:w="146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to be</w:t>
            </w:r>
          </w:p>
        </w:tc>
        <w:tc>
          <w:tcPr>
            <w:tcW w:w="146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Offering Price</w:t>
            </w:r>
          </w:p>
        </w:tc>
        <w:tc>
          <w:tcPr>
            <w:tcW w:w="148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Aggregate</w:t>
            </w: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to be Registered (1)(2)</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Registered (3)</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per Share (4)</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Offering Price (4)</w:t>
            </w:r>
          </w:p>
        </w:tc>
        <w:tc>
          <w:tcPr>
            <w:tcW w:w="1440" w:type="dxa"/>
            <w:vAlign w:val="bottom"/>
            <w:tcBorders>
              <w:bottom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88"/>
              </w:rPr>
              <w:t>Registration Fee (5)</w:t>
            </w:r>
          </w:p>
        </w:tc>
        <w:tc>
          <w:tcPr>
            <w:tcW w:w="0" w:type="dxa"/>
            <w:vAlign w:val="bottom"/>
          </w:tcPr>
          <w:p>
            <w:pPr>
              <w:spacing w:after="0"/>
              <w:rPr>
                <w:sz w:val="1"/>
                <w:szCs w:val="1"/>
                <w:color w:val="auto"/>
              </w:rPr>
            </w:pPr>
          </w:p>
        </w:tc>
      </w:tr>
      <w:tr>
        <w:trPr>
          <w:trHeight w:val="199"/>
        </w:trPr>
        <w:tc>
          <w:tcPr>
            <w:tcW w:w="20" w:type="dxa"/>
            <w:vAlign w:val="bottom"/>
            <w:tcBorders>
              <w:bottom w:val="single" w:sz="8" w:color="auto"/>
            </w:tcBorders>
          </w:tcPr>
          <w:p>
            <w:pPr>
              <w:spacing w:after="0"/>
              <w:rPr>
                <w:sz w:val="17"/>
                <w:szCs w:val="17"/>
                <w:color w:val="auto"/>
              </w:rPr>
            </w:pPr>
          </w:p>
        </w:tc>
        <w:tc>
          <w:tcPr>
            <w:tcW w:w="4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Class A common stock, par value $0.01 per share</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14,505,989</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$35.85</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$520,039,706</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$56,736.33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780" w:right="40" w:hanging="410"/>
        <w:spacing w:after="0" w:line="270" w:lineRule="auto"/>
        <w:tabs>
          <w:tab w:leader="none" w:pos="7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This registration statement (“Registration Statement”) covers an aggregate of 12,506,550 shares of Class A common stock, par value $0.01 per share (“Class A common stock”), of MediaAlpha, Inc. (the “Company” or the “Registrant”) available for issuance under the MediaAlpha, Inc. 2020 Omnibus Incentive Plan (the “Omnibus Incentive Plan”), including 4,808,819 shares of Class A common stock available for issuance with respect to the restricted stock unit awards granted in connection with the Company’s initial public offering and described under the caption “Executive compensation” in the final prospectus filed with the Securities and Exchange Commission (the “Commission”) pursuant to Rule 424(b) promulgated under the Securities Act on October 29, 2020, in connection with the Company’s registration statement on Form S-1 (File No. 333-249326), as amended. On October 27, 2020, the Company’s sole stockholder approved the adoption of the Omnibus Incentive Plan. In addition, this registration statement covers the resale of 1,999,439 shares of our Class A common stock that have been previously issued to the selling shareholders named in this registration statement (the “Selling Shareholders”) pursuant to the Amended and Restated QL Holdings LLC Class B Restricted Unit Plan or the QL Holdings LLC Class B Restricted Unit Plan (together, the “Restricted Unit Plans”).</w:t>
      </w:r>
    </w:p>
    <w:p>
      <w:pPr>
        <w:spacing w:after="0" w:line="1" w:lineRule="exact"/>
        <w:rPr>
          <w:rFonts w:ascii="Arial" w:cs="Arial" w:eastAsia="Arial" w:hAnsi="Arial"/>
          <w:sz w:val="16"/>
          <w:szCs w:val="16"/>
          <w:color w:val="auto"/>
        </w:rPr>
      </w:pPr>
    </w:p>
    <w:p>
      <w:pPr>
        <w:ind w:left="780" w:right="80" w:hanging="410"/>
        <w:spacing w:after="0" w:line="268" w:lineRule="auto"/>
        <w:tabs>
          <w:tab w:leader="none" w:pos="780" w:val="left"/>
        </w:tabs>
        <w:numPr>
          <w:ilvl w:val="0"/>
          <w:numId w:val="1"/>
        </w:numPr>
        <w:rPr>
          <w:rFonts w:ascii="Arial" w:cs="Arial" w:eastAsia="Arial" w:hAnsi="Arial"/>
          <w:sz w:val="16"/>
          <w:szCs w:val="16"/>
          <w:color w:val="auto"/>
        </w:rPr>
      </w:pPr>
      <w:r>
        <w:rPr>
          <w:rFonts w:ascii="Arial" w:cs="Arial" w:eastAsia="Arial" w:hAnsi="Arial"/>
          <w:sz w:val="16"/>
          <w:szCs w:val="16"/>
          <w:color w:val="auto"/>
        </w:rPr>
        <w:t>Shares of Class A common stock of the Company surrendered or tendered to the Company to pay the exercise price or purchase price of an award or to satisfy tax withholding with respect to an award will be available for future grants of awards under the Omnibus Incentive Plan.</w:t>
      </w:r>
    </w:p>
    <w:p>
      <w:pPr>
        <w:spacing w:after="0" w:line="1" w:lineRule="exact"/>
        <w:rPr>
          <w:rFonts w:ascii="Arial" w:cs="Arial" w:eastAsia="Arial" w:hAnsi="Arial"/>
          <w:sz w:val="16"/>
          <w:szCs w:val="16"/>
          <w:color w:val="auto"/>
        </w:rPr>
      </w:pPr>
    </w:p>
    <w:p>
      <w:pPr>
        <w:ind w:left="780" w:right="180" w:hanging="410"/>
        <w:spacing w:after="0" w:line="252" w:lineRule="auto"/>
        <w:tabs>
          <w:tab w:leader="none" w:pos="780"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 of the Securities Act, this Registration Statement shall also cover any additional shares of Class A common stock which become issuable under the Omnibus Incentive Plan or the Restricted Unit Plans pursuant to this Registration Statement by reason of any stock dividend, stock split, recapitalization or any other similar transaction effected without the receipt of consideration which results in an increase in the number of our outstanding shares of Class A common stock.</w:t>
      </w:r>
    </w:p>
    <w:p>
      <w:pPr>
        <w:spacing w:after="0" w:line="3" w:lineRule="exact"/>
        <w:rPr>
          <w:rFonts w:ascii="Arial" w:cs="Arial" w:eastAsia="Arial" w:hAnsi="Arial"/>
          <w:sz w:val="17"/>
          <w:szCs w:val="17"/>
          <w:color w:val="auto"/>
        </w:rPr>
      </w:pPr>
    </w:p>
    <w:p>
      <w:pPr>
        <w:ind w:left="780" w:right="420" w:hanging="410"/>
        <w:spacing w:after="0" w:line="286" w:lineRule="auto"/>
        <w:tabs>
          <w:tab w:leader="none" w:pos="780" w:val="left"/>
        </w:tabs>
        <w:numPr>
          <w:ilvl w:val="0"/>
          <w:numId w:val="1"/>
        </w:numPr>
        <w:rPr>
          <w:rFonts w:ascii="Arial" w:cs="Arial" w:eastAsia="Arial" w:hAnsi="Arial"/>
          <w:sz w:val="15"/>
          <w:szCs w:val="15"/>
          <w:color w:val="auto"/>
        </w:rPr>
      </w:pPr>
      <w:r>
        <w:rPr>
          <w:rFonts w:ascii="Arial" w:cs="Arial" w:eastAsia="Arial" w:hAnsi="Arial"/>
          <w:sz w:val="15"/>
          <w:szCs w:val="15"/>
          <w:color w:val="auto"/>
        </w:rPr>
        <w:t>Calculated solely for purposes of this offering under Rule 457(c) and (h) of the Securities Act on the basis of the average of the high and low selling price per share of Class A common stock of the Company on November 2, 2020, as reported by the New York Stock Exchange.</w:t>
      </w:r>
    </w:p>
    <w:p>
      <w:pPr>
        <w:ind w:left="780" w:right="200" w:hanging="410"/>
        <w:spacing w:after="0" w:line="265" w:lineRule="auto"/>
        <w:tabs>
          <w:tab w:leader="none" w:pos="780" w:val="left"/>
        </w:tabs>
        <w:numPr>
          <w:ilvl w:val="0"/>
          <w:numId w:val="1"/>
        </w:numPr>
        <w:rPr>
          <w:rFonts w:ascii="Arial" w:cs="Arial" w:eastAsia="Arial" w:hAnsi="Arial"/>
          <w:sz w:val="17"/>
          <w:szCs w:val="17"/>
          <w:color w:val="auto"/>
        </w:rPr>
      </w:pPr>
      <w:r>
        <w:rPr>
          <w:rFonts w:ascii="Arial" w:cs="Arial" w:eastAsia="Arial" w:hAnsi="Arial"/>
          <w:sz w:val="17"/>
          <w:szCs w:val="17"/>
          <w:color w:val="auto"/>
        </w:rPr>
        <w:t>Determined in accordance with Section 6(b) of the Securities Act at a rate equal to $109.10 per $1,000,000 of the proposed maximum aggregate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127635</wp:posOffset>
            </wp:positionV>
            <wp:extent cx="6672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72580" cy="8255"/>
                    </a:xfrm>
                    <a:prstGeom prst="rect">
                      <a:avLst/>
                    </a:prstGeom>
                    <a:noFill/>
                  </pic:spPr>
                </pic:pic>
              </a:graphicData>
            </a:graphic>
          </wp:anchor>
        </w:drawing>
        <w:drawing>
          <wp:anchor simplePos="0" relativeHeight="251657728" behindDoc="1" locked="0" layoutInCell="0" allowOverlap="1">
            <wp:simplePos x="0" y="0"/>
            <wp:positionH relativeFrom="column">
              <wp:posOffset>238760</wp:posOffset>
            </wp:positionH>
            <wp:positionV relativeFrom="paragraph">
              <wp:posOffset>168275</wp:posOffset>
            </wp:positionV>
            <wp:extent cx="6672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72580" cy="8255"/>
                    </a:xfrm>
                    <a:prstGeom prst="rect">
                      <a:avLst/>
                    </a:prstGeom>
                    <a:noFill/>
                  </pic:spPr>
                </pic:pic>
              </a:graphicData>
            </a:graphic>
          </wp:anchor>
        </w:drawing>
      </w:r>
    </w:p>
    <w:p>
      <w:pPr>
        <w:sectPr>
          <w:pgSz w:w="11900" w:h="16838" w:orient="portrait"/>
          <w:cols w:equalWidth="0" w:num="1">
            <w:col w:w="10880"/>
          </w:cols>
          <w:pgMar w:left="320" w:top="444" w:right="69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24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5180" cy="24765"/>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EXPLANATORY NOTE</w:t>
      </w:r>
    </w:p>
    <w:p>
      <w:pPr>
        <w:spacing w:after="0" w:line="223" w:lineRule="exact"/>
        <w:rPr>
          <w:sz w:val="20"/>
          <w:szCs w:val="20"/>
          <w:color w:val="auto"/>
        </w:rPr>
      </w:pPr>
    </w:p>
    <w:p>
      <w:pPr>
        <w:ind w:left="380"/>
        <w:spacing w:after="0" w:line="257" w:lineRule="auto"/>
        <w:rPr>
          <w:sz w:val="20"/>
          <w:szCs w:val="20"/>
          <w:color w:val="auto"/>
        </w:rPr>
      </w:pPr>
      <w:r>
        <w:rPr>
          <w:rFonts w:ascii="Arial" w:cs="Arial" w:eastAsia="Arial" w:hAnsi="Arial"/>
          <w:sz w:val="17"/>
          <w:szCs w:val="17"/>
          <w:color w:val="auto"/>
        </w:rPr>
        <w:t>This registration statement is filed by the Company for the purpose of registering (i) 12,506,550 shares of Class A common stock available for issuance under the Omnibus Incentive Plan, including 4,808,819 shares of Class A common stock available for issuance with respect to the restricted stock unit awards granted in connection with the Company’s initial public offering and described under the caption “Executive compensation” in the final prospectus filed with the Commission pursuant to Rule 424(b) promulgated under the Securities Act on October 29, 2020, in connection with the Company’s registration statement on Form S-1 (File No. 333-249326), as amended, and (ii) for purposes of resale or reoffer thereof, 1,999,439 shares of Class A common stock previously issued to certain current and former directors, officers and other employees of the Company named in this registration statement pursuant to the Restricted Unit Plans.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This registration statement contains two parts, Part I and Part II.</w:t>
      </w:r>
    </w:p>
    <w:p>
      <w:pPr>
        <w:spacing w:after="0" w:line="217" w:lineRule="exact"/>
        <w:rPr>
          <w:sz w:val="20"/>
          <w:szCs w:val="20"/>
          <w:color w:val="auto"/>
        </w:rPr>
      </w:pPr>
    </w:p>
    <w:p>
      <w:pPr>
        <w:ind w:left="380" w:right="180"/>
        <w:spacing w:after="0" w:line="258" w:lineRule="auto"/>
        <w:rPr>
          <w:sz w:val="20"/>
          <w:szCs w:val="20"/>
          <w:color w:val="auto"/>
        </w:rPr>
      </w:pPr>
      <w:r>
        <w:rPr>
          <w:rFonts w:ascii="Arial" w:cs="Arial" w:eastAsia="Arial" w:hAnsi="Arial"/>
          <w:sz w:val="17"/>
          <w:szCs w:val="17"/>
          <w:color w:val="auto"/>
        </w:rPr>
        <w:t>The first part, Part I, contains a “reoffer prospectus” prepared in accordance with Part I of Form S-3 (in accordance with Instruction C of the General Instructions to Form S-8). The reoffer prospectus permits reoffers and resales on a continuous or delayed basis of certain of those shares referred to above that constitute “control securities” or “restricted securities”, within the meaning of the Securities Act, by certain of the Company’s stockholders consisting of current and former directors, officers and other employees, previously issued to them pursuant to the Restricted Unit Plans. In addition, certain information relating to future issuances under the Omnibus Incentive Plan is omitted from Part I, as further described below in the next paragraph and under the heading “Item 1. Plan Information”.</w:t>
      </w:r>
    </w:p>
    <w:p>
      <w:pPr>
        <w:spacing w:after="0" w:line="181" w:lineRule="exact"/>
        <w:rPr>
          <w:sz w:val="20"/>
          <w:szCs w:val="20"/>
          <w:color w:val="auto"/>
        </w:rPr>
      </w:pPr>
    </w:p>
    <w:p>
      <w:pPr>
        <w:ind w:left="380" w:right="180"/>
        <w:spacing w:after="0" w:line="311" w:lineRule="auto"/>
        <w:rPr>
          <w:sz w:val="20"/>
          <w:szCs w:val="20"/>
          <w:color w:val="auto"/>
        </w:rPr>
      </w:pPr>
      <w:r>
        <w:rPr>
          <w:rFonts w:ascii="Arial" w:cs="Arial" w:eastAsia="Arial" w:hAnsi="Arial"/>
          <w:sz w:val="16"/>
          <w:szCs w:val="16"/>
          <w:color w:val="auto"/>
        </w:rPr>
        <w:t>Part II contains information required to be set forth in the registration statement pursuant to Part II of Form S-8. Pursuant to the Note to Part I of Form S-8, the Omnibus Incentive Plan information specified by Part I of Form S-8 is not required to be filed with the Commission.</w:t>
      </w:r>
    </w:p>
    <w:p>
      <w:pPr>
        <w:spacing w:after="0" w:line="141" w:lineRule="exact"/>
        <w:rPr>
          <w:sz w:val="20"/>
          <w:szCs w:val="20"/>
          <w:color w:val="auto"/>
        </w:rPr>
      </w:pPr>
    </w:p>
    <w:p>
      <w:pPr>
        <w:ind w:left="380" w:right="160"/>
        <w:spacing w:after="0" w:line="283" w:lineRule="auto"/>
        <w:rPr>
          <w:sz w:val="20"/>
          <w:szCs w:val="20"/>
          <w:color w:val="auto"/>
        </w:rPr>
      </w:pPr>
      <w:r>
        <w:rPr>
          <w:rFonts w:ascii="Arial" w:cs="Arial" w:eastAsia="Arial" w:hAnsi="Arial"/>
          <w:sz w:val="16"/>
          <w:szCs w:val="16"/>
          <w:color w:val="auto"/>
        </w:rPr>
        <w:t>The Company will provide without charge to any person, upon written or oral request of such person, a copy of each document incorporated by reference in Item 3 of Part II of this registration statement (which documents are also incorporated by reference in the reoffer prospectus as set forth in Form S-8), other than exhibits to such documents that are not specifically incorporated by reference, the other documents required to be delivered to eligible employees pursuant to Rule 428(b) under the Securities Act and additional information about the plans.</w:t>
      </w:r>
    </w:p>
    <w:p>
      <w:pPr>
        <w:sectPr>
          <w:pgSz w:w="11900" w:h="16838" w:orient="portrait"/>
          <w:cols w:equalWidth="0" w:num="1">
            <w:col w:w="10860"/>
          </w:cols>
          <w:pgMar w:left="320" w:top="444" w:right="71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24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5180" cy="24765"/>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Part I</w:t>
      </w:r>
    </w:p>
    <w:p>
      <w:pPr>
        <w:spacing w:after="0" w:line="217"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INFORMATION REQUIRED IN THE SECTION 10(a) PROSPECTUS</w:t>
      </w:r>
    </w:p>
    <w:p>
      <w:pPr>
        <w:spacing w:after="0" w:line="217"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Item 1. Plan Information</w:t>
      </w:r>
    </w:p>
    <w:p>
      <w:pPr>
        <w:spacing w:after="0" w:line="120" w:lineRule="exact"/>
        <w:rPr>
          <w:sz w:val="20"/>
          <w:szCs w:val="20"/>
          <w:color w:val="auto"/>
        </w:rPr>
      </w:pPr>
    </w:p>
    <w:p>
      <w:pPr>
        <w:ind w:left="380"/>
        <w:spacing w:after="0" w:line="258" w:lineRule="auto"/>
        <w:rPr>
          <w:sz w:val="20"/>
          <w:szCs w:val="20"/>
          <w:color w:val="auto"/>
        </w:rPr>
      </w:pPr>
      <w:r>
        <w:rPr>
          <w:rFonts w:ascii="Arial" w:cs="Arial" w:eastAsia="Arial" w:hAnsi="Arial"/>
          <w:sz w:val="17"/>
          <w:szCs w:val="17"/>
          <w:color w:val="auto"/>
        </w:rPr>
        <w:t>The documents containing the information in Part I relating to the Omnibus Incentive Plan will be sent or given to participants in the Omnibus Incentive Plan as specified by Rule 428(b)(1) promulgated under the Securities Act. In accordance with the instructions to Part I of Form S-8, such documents will not be filed with the Commission either as part of this Registration Statement or as prospectuses or prospectus supplements pursuant to Rule 424 promulgated under the Securities Act. These documents and the documents incorporated by reference pursuant to Item 3 of Part II of this Registration Statement, taken together, constitute the prospectus that meets the requirements of Section 10(a) of the Securities Act (the “Section 10(a) Prospectus”) in respect of future issuances under the Omnibus Incentive Plan.</w:t>
      </w:r>
    </w:p>
    <w:p>
      <w:pPr>
        <w:spacing w:after="0" w:line="278"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Item 2. Registrant Information and Employee Plan Annual Information</w:t>
      </w:r>
    </w:p>
    <w:p>
      <w:pPr>
        <w:spacing w:after="0" w:line="120" w:lineRule="exact"/>
        <w:rPr>
          <w:sz w:val="20"/>
          <w:szCs w:val="20"/>
          <w:color w:val="auto"/>
        </w:rPr>
      </w:pPr>
    </w:p>
    <w:p>
      <w:pPr>
        <w:ind w:left="380" w:right="100"/>
        <w:spacing w:after="0" w:line="261" w:lineRule="auto"/>
        <w:rPr>
          <w:sz w:val="20"/>
          <w:szCs w:val="20"/>
          <w:color w:val="auto"/>
        </w:rPr>
      </w:pPr>
      <w:r>
        <w:rPr>
          <w:rFonts w:ascii="Arial" w:cs="Arial" w:eastAsia="Arial" w:hAnsi="Arial"/>
          <w:sz w:val="17"/>
          <w:szCs w:val="17"/>
          <w:color w:val="auto"/>
        </w:rPr>
        <w:t>Upon written or oral request, any of the documents incorporated by reference in Item 3 of Part II of this Registration Statement, which are also incorporated by reference in the Section 10(a) Prospectus, other documents required to be delivered to eligible participants pursuant to Rule 428(b) promulgated under the Securities Act, or additional information about the Omnibus Incentive Plan, will be made available without charge by contacting the General Counsel, MediaAlpha, Inc., 700 South Flower Street, Suite 640, Los Angeles, California 90017.</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7"/>
          <w:szCs w:val="17"/>
          <w:b w:val="1"/>
          <w:bCs w:val="1"/>
          <w:u w:val="single" w:color="auto"/>
          <w:color w:val="auto"/>
        </w:rPr>
        <w:t>Reoffer Prospectus</w:t>
      </w:r>
    </w:p>
    <w:p>
      <w:pPr>
        <w:spacing w:after="0" w:line="223"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i w:val="1"/>
          <w:iCs w:val="1"/>
          <w:color w:val="auto"/>
        </w:rPr>
        <w:t>1,999,439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i w:val="1"/>
          <w:iCs w:val="1"/>
          <w:color w:val="auto"/>
        </w:rPr>
        <w:t>MediaAlpha, Inc.</w:t>
      </w:r>
    </w:p>
    <w:p>
      <w:pPr>
        <w:spacing w:after="0" w:line="217" w:lineRule="exact"/>
        <w:rPr>
          <w:sz w:val="20"/>
          <w:szCs w:val="20"/>
          <w:color w:val="auto"/>
        </w:rPr>
      </w:pPr>
    </w:p>
    <w:p>
      <w:pPr>
        <w:jc w:val="center"/>
        <w:ind w:right="-379"/>
        <w:spacing w:after="0"/>
        <w:rPr>
          <w:sz w:val="20"/>
          <w:szCs w:val="20"/>
          <w:color w:val="auto"/>
        </w:rPr>
      </w:pPr>
      <w:r>
        <w:rPr>
          <w:rFonts w:ascii="Arial" w:cs="Arial" w:eastAsia="Arial" w:hAnsi="Arial"/>
          <w:sz w:val="17"/>
          <w:szCs w:val="17"/>
          <w:i w:val="1"/>
          <w:iCs w:val="1"/>
          <w:color w:val="auto"/>
        </w:rPr>
        <w:t>Class A Common Stock, Par Value $0.01 Per Share</w:t>
      </w:r>
    </w:p>
    <w:p>
      <w:pPr>
        <w:spacing w:after="0" w:line="217" w:lineRule="exact"/>
        <w:rPr>
          <w:sz w:val="20"/>
          <w:szCs w:val="20"/>
          <w:color w:val="auto"/>
        </w:rPr>
      </w:pPr>
    </w:p>
    <w:p>
      <w:pPr>
        <w:ind w:left="380" w:right="80"/>
        <w:spacing w:after="0" w:line="259" w:lineRule="auto"/>
        <w:rPr>
          <w:sz w:val="20"/>
          <w:szCs w:val="20"/>
          <w:color w:val="auto"/>
        </w:rPr>
      </w:pPr>
      <w:r>
        <w:rPr>
          <w:rFonts w:ascii="Arial" w:cs="Arial" w:eastAsia="Arial" w:hAnsi="Arial"/>
          <w:sz w:val="17"/>
          <w:szCs w:val="17"/>
          <w:color w:val="auto"/>
        </w:rPr>
        <w:t>This reoffer prospectus relates to 1,999,439 shares of Class A common stock (the “Shares”), par value $0.01 per share, of MediaAlpha, Inc., a Delaware corporation (the “Company”), that may be offered from time to time by certain selling shareholders named in this reoffer prospectus (the “Selling Shareholders”). Each of the Selling Shareholders acquired such Shares pursuant to the Amended and Restated QL Holdings LLC Class B Restricted Unit Plan or the QL Holdings LLC Class B Restricted Unit Plan (together, the “Restricted Unit Plans”) prior to the date of the initial public offering of the Company, which was consummated on October 30, 2020.</w:t>
      </w:r>
    </w:p>
    <w:p>
      <w:pPr>
        <w:sectPr>
          <w:pgSz w:w="11900" w:h="16838" w:orient="portrait"/>
          <w:cols w:equalWidth="0" w:num="1">
            <w:col w:w="10880"/>
          </w:cols>
          <w:pgMar w:left="320" w:top="444" w:right="69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24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5180" cy="24765"/>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380" w:right="140"/>
        <w:spacing w:after="0" w:line="266" w:lineRule="auto"/>
        <w:rPr>
          <w:sz w:val="20"/>
          <w:szCs w:val="20"/>
          <w:color w:val="auto"/>
        </w:rPr>
      </w:pPr>
      <w:r>
        <w:rPr>
          <w:rFonts w:ascii="Arial" w:cs="Arial" w:eastAsia="Arial" w:hAnsi="Arial"/>
          <w:sz w:val="17"/>
          <w:szCs w:val="17"/>
          <w:color w:val="auto"/>
        </w:rPr>
        <w:t>The Selling Shareholders may sell the Shares directly, or may sell them through brokers or dealers. The Company will not receive any of the proceeds from sales made under this reoffer prospectus. The Company is paying the expenses incurred in registering these Shares, but all selling and other expenses incurred by each of the Selling Shareholders will be borne by that Selling Shareholder.</w:t>
      </w:r>
    </w:p>
    <w:p>
      <w:pPr>
        <w:spacing w:after="0" w:line="174" w:lineRule="exact"/>
        <w:rPr>
          <w:sz w:val="20"/>
          <w:szCs w:val="20"/>
          <w:color w:val="auto"/>
        </w:rPr>
      </w:pPr>
    </w:p>
    <w:p>
      <w:pPr>
        <w:ind w:left="380" w:right="260"/>
        <w:spacing w:after="0" w:line="279" w:lineRule="auto"/>
        <w:rPr>
          <w:sz w:val="20"/>
          <w:szCs w:val="20"/>
          <w:color w:val="auto"/>
        </w:rPr>
      </w:pPr>
      <w:r>
        <w:rPr>
          <w:rFonts w:ascii="Arial" w:cs="Arial" w:eastAsia="Arial" w:hAnsi="Arial"/>
          <w:sz w:val="17"/>
          <w:szCs w:val="17"/>
          <w:color w:val="auto"/>
        </w:rPr>
        <w:t>Our Class A common stock is traded on the New York Stock Exchange (the “NYSE”) under the symbol “MAX.” On November 6, 2020, our closing price on the NYSE was $46.02 per share.</w:t>
      </w:r>
    </w:p>
    <w:p>
      <w:pPr>
        <w:spacing w:after="0" w:line="261" w:lineRule="exact"/>
        <w:rPr>
          <w:sz w:val="20"/>
          <w:szCs w:val="20"/>
          <w:color w:val="auto"/>
        </w:rPr>
      </w:pPr>
    </w:p>
    <w:p>
      <w:pPr>
        <w:ind w:left="38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Investing in our Class A common stock involves risks. Please see the information described under “</w:t>
      </w:r>
      <w:hyperlink w:anchor="page15">
        <w:r>
          <w:rPr>
            <w:rFonts w:ascii="Arial" w:cs="Arial" w:eastAsia="Arial" w:hAnsi="Arial"/>
            <w:sz w:val="17"/>
            <w:szCs w:val="17"/>
            <w:b w:val="1"/>
            <w:bCs w:val="1"/>
            <w:u w:val="single" w:color="auto"/>
            <w:color w:val="0000EE"/>
          </w:rPr>
          <w:t>Risk Factors</w:t>
        </w:r>
      </w:hyperlink>
      <w:r>
        <w:rPr>
          <w:rFonts w:ascii="Arial" w:cs="Arial" w:eastAsia="Arial" w:hAnsi="Arial"/>
          <w:sz w:val="17"/>
          <w:szCs w:val="17"/>
          <w:b w:val="1"/>
          <w:bCs w:val="1"/>
          <w:color w:val="auto"/>
        </w:rPr>
        <w:t>” on page 10.</w:t>
      </w:r>
    </w:p>
    <w:p>
      <w:pPr>
        <w:spacing w:after="0" w:line="114" w:lineRule="exact"/>
        <w:rPr>
          <w:sz w:val="20"/>
          <w:szCs w:val="20"/>
          <w:color w:val="auto"/>
        </w:rPr>
      </w:pPr>
    </w:p>
    <w:p>
      <w:pPr>
        <w:ind w:left="380" w:right="500"/>
        <w:spacing w:after="0" w:line="31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reoffer prospectus is truthful or complete. Any representation to the contrary is a criminal offense.</w:t>
      </w:r>
    </w:p>
    <w:p>
      <w:pPr>
        <w:spacing w:after="0" w:line="335" w:lineRule="exact"/>
        <w:rPr>
          <w:sz w:val="20"/>
          <w:szCs w:val="20"/>
          <w:color w:val="auto"/>
        </w:rPr>
      </w:pPr>
    </w:p>
    <w:tbl>
      <w:tblPr>
        <w:tblLayout w:type="fixed"/>
        <w:tblInd w:w="380" w:type="dxa"/>
        <w:tblCellMar>
          <w:top w:w="0" w:type="dxa"/>
          <w:left w:w="0" w:type="dxa"/>
          <w:bottom w:w="0" w:type="dxa"/>
          <w:right w:w="0" w:type="dxa"/>
        </w:tblCellMar>
      </w:tblPr>
      <w:tr>
        <w:trPr>
          <w:trHeight w:val="223"/>
        </w:trPr>
        <w:tc>
          <w:tcPr>
            <w:tcW w:w="8760" w:type="dxa"/>
            <w:vAlign w:val="bottom"/>
          </w:tcPr>
          <w:p>
            <w:pPr>
              <w:ind w:left="3220"/>
              <w:spacing w:after="0"/>
              <w:rPr>
                <w:sz w:val="20"/>
                <w:szCs w:val="20"/>
                <w:color w:val="auto"/>
              </w:rPr>
            </w:pPr>
            <w:r>
              <w:rPr>
                <w:rFonts w:ascii="Arial" w:cs="Arial" w:eastAsia="Arial" w:hAnsi="Arial"/>
                <w:sz w:val="17"/>
                <w:szCs w:val="17"/>
                <w:b w:val="1"/>
                <w:bCs w:val="1"/>
                <w:color w:val="auto"/>
              </w:rPr>
              <w:t>The date of this reoffer prospectus is November 9, 2020</w:t>
            </w:r>
          </w:p>
        </w:tc>
        <w:tc>
          <w:tcPr>
            <w:tcW w:w="1680" w:type="dxa"/>
            <w:vAlign w:val="bottom"/>
          </w:tcPr>
          <w:p>
            <w:pPr>
              <w:spacing w:after="0"/>
              <w:rPr>
                <w:sz w:val="19"/>
                <w:szCs w:val="19"/>
                <w:color w:val="auto"/>
              </w:rPr>
            </w:pPr>
          </w:p>
        </w:tc>
      </w:tr>
      <w:tr>
        <w:trPr>
          <w:trHeight w:val="412"/>
        </w:trPr>
        <w:tc>
          <w:tcPr>
            <w:tcW w:w="8760" w:type="dxa"/>
            <w:vAlign w:val="bottom"/>
          </w:tcPr>
          <w:p>
            <w:pPr>
              <w:ind w:left="4320"/>
              <w:spacing w:after="0"/>
              <w:rPr>
                <w:sz w:val="20"/>
                <w:szCs w:val="20"/>
                <w:color w:val="auto"/>
              </w:rPr>
            </w:pPr>
            <w:r>
              <w:rPr>
                <w:rFonts w:ascii="Arial" w:cs="Arial" w:eastAsia="Arial" w:hAnsi="Arial"/>
                <w:sz w:val="17"/>
                <w:szCs w:val="17"/>
                <w:b w:val="1"/>
                <w:bCs w:val="1"/>
                <w:color w:val="auto"/>
              </w:rPr>
              <w:t>TABLE OF CONTENTS</w:t>
            </w:r>
          </w:p>
        </w:tc>
        <w:tc>
          <w:tcPr>
            <w:tcW w:w="1680" w:type="dxa"/>
            <w:vAlign w:val="bottom"/>
          </w:tcPr>
          <w:p>
            <w:pPr>
              <w:spacing w:after="0"/>
              <w:rPr>
                <w:sz w:val="24"/>
                <w:szCs w:val="24"/>
                <w:color w:val="auto"/>
              </w:rPr>
            </w:pPr>
          </w:p>
        </w:tc>
      </w:tr>
      <w:tr>
        <w:trPr>
          <w:trHeight w:val="427"/>
        </w:trPr>
        <w:tc>
          <w:tcPr>
            <w:tcW w:w="8760" w:type="dxa"/>
            <w:vAlign w:val="bottom"/>
          </w:tcPr>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CAUTIONARY STATEMENT REGARDING FORWARD-LOOKING STATEMENTS</w:t>
              </w:r>
            </w:hyperlink>
          </w:p>
        </w:tc>
        <w:tc>
          <w:tcPr>
            <w:tcW w:w="16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6"/>
        </w:trPr>
        <w:tc>
          <w:tcPr>
            <w:tcW w:w="8760" w:type="dxa"/>
            <w:vAlign w:val="bottom"/>
          </w:tcPr>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PROSPECTUS SUMMARY</w:t>
              </w:r>
            </w:hyperlink>
          </w:p>
        </w:tc>
        <w:tc>
          <w:tcPr>
            <w:tcW w:w="168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6"/>
        </w:trPr>
        <w:tc>
          <w:tcPr>
            <w:tcW w:w="8760" w:type="dxa"/>
            <w:vAlign w:val="bottom"/>
          </w:tcPr>
          <w:p>
            <w:pPr>
              <w:spacing w:after="0"/>
              <w:rPr>
                <w:rFonts w:ascii="Arial" w:cs="Arial" w:eastAsia="Arial" w:hAnsi="Arial"/>
                <w:sz w:val="17"/>
                <w:szCs w:val="17"/>
                <w:u w:val="single" w:color="auto"/>
                <w:color w:val="0000EE"/>
              </w:rPr>
            </w:pPr>
            <w:hyperlink w:anchor="page9">
              <w:r>
                <w:rPr>
                  <w:rFonts w:ascii="Arial" w:cs="Arial" w:eastAsia="Arial" w:hAnsi="Arial"/>
                  <w:sz w:val="17"/>
                  <w:szCs w:val="17"/>
                  <w:u w:val="single" w:color="auto"/>
                  <w:color w:val="0000EE"/>
                </w:rPr>
                <w:t>OUR COMPANY</w:t>
              </w:r>
            </w:hyperlink>
          </w:p>
        </w:tc>
        <w:tc>
          <w:tcPr>
            <w:tcW w:w="16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6"/>
        </w:trPr>
        <w:tc>
          <w:tcPr>
            <w:tcW w:w="8760" w:type="dxa"/>
            <w:vAlign w:val="bottom"/>
          </w:tcPr>
          <w:p>
            <w:pPr>
              <w:spacing w:after="0"/>
              <w:rPr>
                <w:rFonts w:ascii="Arial" w:cs="Arial" w:eastAsia="Arial" w:hAnsi="Arial"/>
                <w:sz w:val="17"/>
                <w:szCs w:val="17"/>
                <w:u w:val="single" w:color="auto"/>
                <w:color w:val="0000EE"/>
              </w:rPr>
            </w:pPr>
            <w:hyperlink w:anchor="page11">
              <w:r>
                <w:rPr>
                  <w:rFonts w:ascii="Arial" w:cs="Arial" w:eastAsia="Arial" w:hAnsi="Arial"/>
                  <w:sz w:val="17"/>
                  <w:szCs w:val="17"/>
                  <w:u w:val="single" w:color="auto"/>
                  <w:color w:val="0000EE"/>
                </w:rPr>
                <w:t>OUR MARKET OPPORTUNITY</w:t>
              </w:r>
            </w:hyperlink>
          </w:p>
        </w:tc>
        <w:tc>
          <w:tcPr>
            <w:tcW w:w="16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06"/>
        </w:trPr>
        <w:tc>
          <w:tcPr>
            <w:tcW w:w="8760" w:type="dxa"/>
            <w:vAlign w:val="bottom"/>
          </w:tcPr>
          <w:p>
            <w:pPr>
              <w:spacing w:after="0"/>
              <w:rPr>
                <w:rFonts w:ascii="Arial" w:cs="Arial" w:eastAsia="Arial" w:hAnsi="Arial"/>
                <w:sz w:val="17"/>
                <w:szCs w:val="17"/>
                <w:u w:val="single" w:color="auto"/>
                <w:color w:val="0000EE"/>
              </w:rPr>
            </w:pPr>
            <w:hyperlink w:anchor="page13">
              <w:r>
                <w:rPr>
                  <w:rFonts w:ascii="Arial" w:cs="Arial" w:eastAsia="Arial" w:hAnsi="Arial"/>
                  <w:sz w:val="17"/>
                  <w:szCs w:val="17"/>
                  <w:u w:val="single" w:color="auto"/>
                  <w:color w:val="0000EE"/>
                </w:rPr>
                <w:t>OUR TARGET AUDIENCE</w:t>
              </w:r>
            </w:hyperlink>
          </w:p>
        </w:tc>
        <w:tc>
          <w:tcPr>
            <w:tcW w:w="168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6"/>
        </w:trPr>
        <w:tc>
          <w:tcPr>
            <w:tcW w:w="8760" w:type="dxa"/>
            <w:vAlign w:val="bottom"/>
          </w:tcPr>
          <w:p>
            <w:pPr>
              <w:spacing w:after="0"/>
              <w:rPr>
                <w:rFonts w:ascii="Arial" w:cs="Arial" w:eastAsia="Arial" w:hAnsi="Arial"/>
                <w:sz w:val="17"/>
                <w:szCs w:val="17"/>
                <w:u w:val="single" w:color="auto"/>
                <w:color w:val="0000EE"/>
              </w:rPr>
            </w:pPr>
            <w:hyperlink w:anchor="page15">
              <w:r>
                <w:rPr>
                  <w:rFonts w:ascii="Arial" w:cs="Arial" w:eastAsia="Arial" w:hAnsi="Arial"/>
                  <w:sz w:val="17"/>
                  <w:szCs w:val="17"/>
                  <w:u w:val="single" w:color="auto"/>
                  <w:color w:val="0000EE"/>
                </w:rPr>
                <w:t>RISK FACTORS</w:t>
              </w:r>
            </w:hyperlink>
          </w:p>
        </w:tc>
        <w:tc>
          <w:tcPr>
            <w:tcW w:w="168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06"/>
        </w:trPr>
        <w:tc>
          <w:tcPr>
            <w:tcW w:w="8760" w:type="dxa"/>
            <w:vAlign w:val="bottom"/>
          </w:tcPr>
          <w:p>
            <w:pPr>
              <w:spacing w:after="0"/>
              <w:rPr>
                <w:rFonts w:ascii="Arial" w:cs="Arial" w:eastAsia="Arial" w:hAnsi="Arial"/>
                <w:sz w:val="17"/>
                <w:szCs w:val="17"/>
                <w:u w:val="single" w:color="auto"/>
                <w:color w:val="0000EE"/>
              </w:rPr>
            </w:pPr>
            <w:hyperlink w:anchor="page15">
              <w:r>
                <w:rPr>
                  <w:rFonts w:ascii="Arial" w:cs="Arial" w:eastAsia="Arial" w:hAnsi="Arial"/>
                  <w:sz w:val="17"/>
                  <w:szCs w:val="17"/>
                  <w:u w:val="single" w:color="auto"/>
                  <w:color w:val="0000EE"/>
                </w:rPr>
                <w:t>USE OF PROCEEDS</w:t>
              </w:r>
            </w:hyperlink>
          </w:p>
        </w:tc>
        <w:tc>
          <w:tcPr>
            <w:tcW w:w="168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06"/>
        </w:trPr>
        <w:tc>
          <w:tcPr>
            <w:tcW w:w="8760" w:type="dxa"/>
            <w:vAlign w:val="bottom"/>
          </w:tcPr>
          <w:p>
            <w:pPr>
              <w:spacing w:after="0"/>
              <w:rPr>
                <w:rFonts w:ascii="Arial" w:cs="Arial" w:eastAsia="Arial" w:hAnsi="Arial"/>
                <w:sz w:val="17"/>
                <w:szCs w:val="17"/>
                <w:u w:val="single" w:color="auto"/>
                <w:color w:val="0000EE"/>
              </w:rPr>
            </w:pPr>
            <w:hyperlink w:anchor="page15">
              <w:r>
                <w:rPr>
                  <w:rFonts w:ascii="Arial" w:cs="Arial" w:eastAsia="Arial" w:hAnsi="Arial"/>
                  <w:sz w:val="17"/>
                  <w:szCs w:val="17"/>
                  <w:u w:val="single" w:color="auto"/>
                  <w:color w:val="0000EE"/>
                </w:rPr>
                <w:t>DETERMINATION OF OFFERING PRICE</w:t>
              </w:r>
            </w:hyperlink>
          </w:p>
        </w:tc>
        <w:tc>
          <w:tcPr>
            <w:tcW w:w="168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06"/>
        </w:trPr>
        <w:tc>
          <w:tcPr>
            <w:tcW w:w="8760" w:type="dxa"/>
            <w:vAlign w:val="bottom"/>
          </w:tcPr>
          <w:p>
            <w:pPr>
              <w:spacing w:after="0"/>
              <w:rPr>
                <w:rFonts w:ascii="Arial" w:cs="Arial" w:eastAsia="Arial" w:hAnsi="Arial"/>
                <w:sz w:val="17"/>
                <w:szCs w:val="17"/>
                <w:u w:val="single" w:color="auto"/>
                <w:color w:val="0000EE"/>
              </w:rPr>
            </w:pPr>
            <w:hyperlink w:anchor="page16">
              <w:r>
                <w:rPr>
                  <w:rFonts w:ascii="Arial" w:cs="Arial" w:eastAsia="Arial" w:hAnsi="Arial"/>
                  <w:sz w:val="17"/>
                  <w:szCs w:val="17"/>
                  <w:u w:val="single" w:color="auto"/>
                  <w:color w:val="0000EE"/>
                </w:rPr>
                <w:t>SELLING SHAREHOLDERS</w:t>
              </w:r>
            </w:hyperlink>
          </w:p>
        </w:tc>
        <w:tc>
          <w:tcPr>
            <w:tcW w:w="168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06"/>
        </w:trPr>
        <w:tc>
          <w:tcPr>
            <w:tcW w:w="8760" w:type="dxa"/>
            <w:vAlign w:val="bottom"/>
          </w:tcPr>
          <w:p>
            <w:pPr>
              <w:spacing w:after="0"/>
              <w:rPr>
                <w:rFonts w:ascii="Arial" w:cs="Arial" w:eastAsia="Arial" w:hAnsi="Arial"/>
                <w:sz w:val="17"/>
                <w:szCs w:val="17"/>
                <w:u w:val="single" w:color="auto"/>
                <w:color w:val="0000EE"/>
              </w:rPr>
            </w:pPr>
            <w:hyperlink w:anchor="page18">
              <w:r>
                <w:rPr>
                  <w:rFonts w:ascii="Arial" w:cs="Arial" w:eastAsia="Arial" w:hAnsi="Arial"/>
                  <w:sz w:val="17"/>
                  <w:szCs w:val="17"/>
                  <w:u w:val="single" w:color="auto"/>
                  <w:color w:val="0000EE"/>
                </w:rPr>
                <w:t>PLAN OF DISTRIBUTION</w:t>
              </w:r>
            </w:hyperlink>
          </w:p>
        </w:tc>
        <w:tc>
          <w:tcPr>
            <w:tcW w:w="168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6"/>
        </w:trPr>
        <w:tc>
          <w:tcPr>
            <w:tcW w:w="8760" w:type="dxa"/>
            <w:vAlign w:val="bottom"/>
          </w:tcPr>
          <w:p>
            <w:pPr>
              <w:spacing w:after="0"/>
              <w:rPr>
                <w:rFonts w:ascii="Arial" w:cs="Arial" w:eastAsia="Arial" w:hAnsi="Arial"/>
                <w:sz w:val="17"/>
                <w:szCs w:val="17"/>
                <w:u w:val="single" w:color="auto"/>
                <w:color w:val="0000EE"/>
              </w:rPr>
            </w:pPr>
            <w:hyperlink w:anchor="page19">
              <w:r>
                <w:rPr>
                  <w:rFonts w:ascii="Arial" w:cs="Arial" w:eastAsia="Arial" w:hAnsi="Arial"/>
                  <w:sz w:val="17"/>
                  <w:szCs w:val="17"/>
                  <w:u w:val="single" w:color="auto"/>
                  <w:color w:val="0000EE"/>
                </w:rPr>
                <w:t>EXPERTS</w:t>
              </w:r>
            </w:hyperlink>
          </w:p>
        </w:tc>
        <w:tc>
          <w:tcPr>
            <w:tcW w:w="16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06"/>
        </w:trPr>
        <w:tc>
          <w:tcPr>
            <w:tcW w:w="8760" w:type="dxa"/>
            <w:vAlign w:val="bottom"/>
          </w:tcPr>
          <w:p>
            <w:pPr>
              <w:spacing w:after="0"/>
              <w:rPr>
                <w:rFonts w:ascii="Arial" w:cs="Arial" w:eastAsia="Arial" w:hAnsi="Arial"/>
                <w:sz w:val="17"/>
                <w:szCs w:val="17"/>
                <w:u w:val="single" w:color="auto"/>
                <w:color w:val="0000EE"/>
              </w:rPr>
            </w:pPr>
            <w:hyperlink w:anchor="page19">
              <w:r>
                <w:rPr>
                  <w:rFonts w:ascii="Arial" w:cs="Arial" w:eastAsia="Arial" w:hAnsi="Arial"/>
                  <w:sz w:val="17"/>
                  <w:szCs w:val="17"/>
                  <w:u w:val="single" w:color="auto"/>
                  <w:color w:val="0000EE"/>
                </w:rPr>
                <w:t>INDEMNIFICATION OF DIRECTORS AND OFFICERS</w:t>
              </w:r>
            </w:hyperlink>
          </w:p>
        </w:tc>
        <w:tc>
          <w:tcPr>
            <w:tcW w:w="16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06"/>
        </w:trPr>
        <w:tc>
          <w:tcPr>
            <w:tcW w:w="8760" w:type="dxa"/>
            <w:vAlign w:val="bottom"/>
          </w:tcPr>
          <w:p>
            <w:pPr>
              <w:spacing w:after="0"/>
              <w:rPr>
                <w:rFonts w:ascii="Arial" w:cs="Arial" w:eastAsia="Arial" w:hAnsi="Arial"/>
                <w:sz w:val="17"/>
                <w:szCs w:val="17"/>
                <w:u w:val="single" w:color="auto"/>
                <w:color w:val="0000EE"/>
              </w:rPr>
            </w:pPr>
            <w:hyperlink w:anchor="page20">
              <w:r>
                <w:rPr>
                  <w:rFonts w:ascii="Arial" w:cs="Arial" w:eastAsia="Arial" w:hAnsi="Arial"/>
                  <w:sz w:val="17"/>
                  <w:szCs w:val="17"/>
                  <w:u w:val="single" w:color="auto"/>
                  <w:color w:val="0000EE"/>
                </w:rPr>
                <w:t>WHERE YOU CAN FIND ADDITIONAL INFORMATION</w:t>
              </w:r>
            </w:hyperlink>
          </w:p>
        </w:tc>
        <w:tc>
          <w:tcPr>
            <w:tcW w:w="16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7"/>
        </w:trPr>
        <w:tc>
          <w:tcPr>
            <w:tcW w:w="8760" w:type="dxa"/>
            <w:vAlign w:val="bottom"/>
          </w:tcPr>
          <w:p>
            <w:pPr>
              <w:spacing w:after="0"/>
              <w:rPr>
                <w:rFonts w:ascii="Arial" w:cs="Arial" w:eastAsia="Arial" w:hAnsi="Arial"/>
                <w:sz w:val="17"/>
                <w:szCs w:val="17"/>
                <w:u w:val="single" w:color="auto"/>
                <w:color w:val="0000EE"/>
              </w:rPr>
            </w:pPr>
            <w:hyperlink w:anchor="page20">
              <w:r>
                <w:rPr>
                  <w:rFonts w:ascii="Arial" w:cs="Arial" w:eastAsia="Arial" w:hAnsi="Arial"/>
                  <w:sz w:val="17"/>
                  <w:szCs w:val="17"/>
                  <w:u w:val="single" w:color="auto"/>
                  <w:color w:val="0000EE"/>
                </w:rPr>
                <w:t>INCORPORATION OF DOCUMENTS BY REFERENCE</w:t>
              </w:r>
            </w:hyperlink>
          </w:p>
        </w:tc>
        <w:tc>
          <w:tcPr>
            <w:tcW w:w="1680" w:type="dxa"/>
            <w:vAlign w:val="bottom"/>
          </w:tcPr>
          <w:p>
            <w:pPr>
              <w:jc w:val="right"/>
              <w:spacing w:after="0"/>
              <w:rPr>
                <w:sz w:val="20"/>
                <w:szCs w:val="20"/>
                <w:color w:val="auto"/>
              </w:rPr>
            </w:pPr>
            <w:r>
              <w:rPr>
                <w:rFonts w:ascii="Arial" w:cs="Arial" w:eastAsia="Arial" w:hAnsi="Arial"/>
                <w:sz w:val="17"/>
                <w:szCs w:val="17"/>
                <w:color w:val="auto"/>
              </w:rPr>
              <w:t>15</w:t>
            </w:r>
          </w:p>
        </w:tc>
      </w:tr>
    </w:tbl>
    <w:p>
      <w:pPr>
        <w:sectPr>
          <w:pgSz w:w="11900" w:h="16838" w:orient="portrait"/>
          <w:cols w:equalWidth="0" w:num="1">
            <w:col w:w="10820"/>
          </w:cols>
          <w:pgMar w:left="320" w:top="444" w:right="75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24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5180" cy="24765"/>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380" w:right="160"/>
        <w:spacing w:after="0" w:line="317" w:lineRule="auto"/>
        <w:rPr>
          <w:sz w:val="20"/>
          <w:szCs w:val="20"/>
          <w:color w:val="auto"/>
        </w:rPr>
      </w:pPr>
      <w:r>
        <w:rPr>
          <w:rFonts w:ascii="Arial" w:cs="Arial" w:eastAsia="Arial" w:hAnsi="Arial"/>
          <w:sz w:val="15"/>
          <w:szCs w:val="15"/>
          <w:color w:val="auto"/>
        </w:rPr>
        <w:t>No dealer, salesperson or other person is authorized to give any information or to represent anything not contained in this reoffer prospectus. You must not rely on any unauthorized information or representations. This reoffer prospectus is an offer to sell only the shares offered hereby, and only under circumstances and in jurisdictions where it is lawful to do so. The information contained in this reoffer prospectus is current only as of its date.</w:t>
      </w:r>
    </w:p>
    <w:p>
      <w:pPr>
        <w:spacing w:after="0" w:line="141" w:lineRule="exact"/>
        <w:rPr>
          <w:sz w:val="20"/>
          <w:szCs w:val="20"/>
          <w:color w:val="auto"/>
        </w:rPr>
      </w:pPr>
    </w:p>
    <w:p>
      <w:pPr>
        <w:ind w:left="380" w:right="40"/>
        <w:spacing w:after="0" w:line="261" w:lineRule="auto"/>
        <w:rPr>
          <w:sz w:val="20"/>
          <w:szCs w:val="20"/>
          <w:color w:val="auto"/>
        </w:rPr>
      </w:pPr>
      <w:r>
        <w:rPr>
          <w:rFonts w:ascii="Arial" w:cs="Arial" w:eastAsia="Arial" w:hAnsi="Arial"/>
          <w:sz w:val="17"/>
          <w:szCs w:val="17"/>
          <w:color w:val="auto"/>
        </w:rPr>
        <w:t>As used in this reoffer prospectus, unless the context otherwise indicates, any reference to “MediaAlpha,” “our Company,” the “Company,” “we,” “us,” and “our” refers to (1) QL Holdings LLC prior to the completion of the initial public offering and (2) MediaAlpha, Inc., the issuer of the Shares, together with its consolidated subsidiaries, including QL Holdings LLC, after the completion of the initial public offering. QL Holdings LLC has owned all of our operating assets and all of our business since inception.</w:t>
      </w:r>
    </w:p>
    <w:p>
      <w:pPr>
        <w:spacing w:after="0" w:line="38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CAUTIONARY STATEMENT REGARDING</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FORWARD-LOOKING STATEMENTS</w:t>
      </w:r>
    </w:p>
    <w:p>
      <w:pPr>
        <w:spacing w:after="0" w:line="206" w:lineRule="exact"/>
        <w:rPr>
          <w:sz w:val="20"/>
          <w:szCs w:val="20"/>
          <w:color w:val="auto"/>
        </w:rPr>
      </w:pPr>
    </w:p>
    <w:p>
      <w:pPr>
        <w:ind w:left="380" w:right="20"/>
        <w:spacing w:after="0" w:line="293" w:lineRule="auto"/>
        <w:rPr>
          <w:sz w:val="20"/>
          <w:szCs w:val="20"/>
          <w:color w:val="auto"/>
        </w:rPr>
      </w:pPr>
      <w:r>
        <w:rPr>
          <w:rFonts w:ascii="Arial" w:cs="Arial" w:eastAsia="Arial" w:hAnsi="Arial"/>
          <w:sz w:val="15"/>
          <w:szCs w:val="15"/>
          <w:color w:val="auto"/>
        </w:rPr>
        <w:t>This reoffer prospectus and the registration statement of which it forms a part and the documents incorporated by reference into these documents contain forward-looking statements. These forward-looking statements reflect our current views with respect to, among other things, future events and our financial performance. These statements are often, but not always, made through the use of words or phrases such as “may,” “should,” “could,” “predict,” “potential,” “believe,” “will likely result,” “expect,” “continue,” “will,” “anticipate,” “seek,” “estimate,” “intend,” “plan,” “projection,” “would,”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61" w:lineRule="exact"/>
        <w:rPr>
          <w:sz w:val="20"/>
          <w:szCs w:val="20"/>
          <w:color w:val="auto"/>
        </w:rPr>
      </w:pPr>
    </w:p>
    <w:p>
      <w:pPr>
        <w:ind w:left="380"/>
        <w:spacing w:after="0" w:line="283" w:lineRule="auto"/>
        <w:rPr>
          <w:sz w:val="20"/>
          <w:szCs w:val="20"/>
          <w:color w:val="auto"/>
        </w:rPr>
      </w:pPr>
      <w:r>
        <w:rPr>
          <w:rFonts w:ascii="Arial" w:cs="Arial" w:eastAsia="Arial" w:hAnsi="Arial"/>
          <w:sz w:val="16"/>
          <w:szCs w:val="16"/>
          <w:color w:val="auto"/>
        </w:rPr>
        <w:t>There are or will be important factors that could cause our actual results to differ materially from those indicated in these forward-looking statements. We believe that these factors include but are not limited to those described under “Risk Factors” in the final prospectus filed with the Commission pursuant to Rule 424(b) promulgated under the Securities Act of 1933, as amended (the “Securities Act”), on October 29, 2020. These factors should not be construed as exhaustive and should be read in conjunction with the other cautionary statements included in this reoffer prospectus.</w:t>
      </w:r>
    </w:p>
    <w:p>
      <w:pPr>
        <w:spacing w:after="0" w:line="9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880"/>
          </w:cols>
          <w:pgMar w:left="320" w:top="444" w:right="69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24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5180" cy="24765"/>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380"/>
        <w:spacing w:after="0" w:line="275" w:lineRule="auto"/>
        <w:rPr>
          <w:sz w:val="20"/>
          <w:szCs w:val="20"/>
          <w:color w:val="auto"/>
        </w:rPr>
      </w:pPr>
      <w:r>
        <w:rPr>
          <w:rFonts w:ascii="Arial" w:cs="Arial" w:eastAsia="Arial" w:hAnsi="Arial"/>
          <w:sz w:val="16"/>
          <w:szCs w:val="16"/>
          <w:color w:val="auto"/>
        </w:rPr>
        <w:t>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373"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PROSPECTUS SUMMARY</w:t>
      </w:r>
    </w:p>
    <w:p>
      <w:pPr>
        <w:spacing w:after="0" w:line="223" w:lineRule="exact"/>
        <w:rPr>
          <w:sz w:val="20"/>
          <w:szCs w:val="20"/>
          <w:color w:val="auto"/>
        </w:rPr>
      </w:pPr>
    </w:p>
    <w:p>
      <w:pPr>
        <w:ind w:left="380" w:right="200"/>
        <w:spacing w:after="0" w:line="261" w:lineRule="auto"/>
        <w:rPr>
          <w:sz w:val="20"/>
          <w:szCs w:val="20"/>
          <w:color w:val="auto"/>
        </w:rPr>
      </w:pPr>
      <w:r>
        <w:rPr>
          <w:rFonts w:ascii="Arial" w:cs="Arial" w:eastAsia="Arial" w:hAnsi="Arial"/>
          <w:sz w:val="17"/>
          <w:szCs w:val="17"/>
          <w:i w:val="1"/>
          <w:iCs w:val="1"/>
          <w:color w:val="auto"/>
        </w:rPr>
        <w:t>The following summary highlights certain information contained elsewhere in, or incorporated by reference into, this reoffer prospectus and does not contain all of the information that you should consider before investing in our common stock. We urge you to read this entire reoffer prospectus carefully, including the section entitled “Risk Factors” and the financial statements and related notes and other documents incorporated by reference into this reoffer prospectus, before making an investment decision.</w:t>
      </w:r>
    </w:p>
    <w:p>
      <w:pPr>
        <w:spacing w:after="0" w:line="38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CERTAIN DEFINITIONS</w:t>
      </w:r>
    </w:p>
    <w:p>
      <w:pPr>
        <w:spacing w:after="0" w:line="2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used in this reoffer prospectus:</w:t>
      </w:r>
    </w:p>
    <w:p>
      <w:pPr>
        <w:spacing w:after="0" w:line="126" w:lineRule="exact"/>
        <w:rPr>
          <w:sz w:val="20"/>
          <w:szCs w:val="20"/>
          <w:color w:val="auto"/>
        </w:rPr>
      </w:pPr>
    </w:p>
    <w:p>
      <w:pPr>
        <w:ind w:left="780" w:hanging="307"/>
        <w:spacing w:after="0"/>
        <w:tabs>
          <w:tab w:leader="none" w:pos="78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“Consumer Referral” means any consumer click, call or lead purchased by a buyer on our platform.</w:t>
      </w:r>
    </w:p>
    <w:p>
      <w:pPr>
        <w:spacing w:after="0" w:line="126" w:lineRule="exact"/>
        <w:rPr>
          <w:rFonts w:ascii="Arial" w:cs="Arial" w:eastAsia="Arial" w:hAnsi="Arial"/>
          <w:sz w:val="17"/>
          <w:szCs w:val="17"/>
          <w:color w:val="auto"/>
        </w:rPr>
      </w:pPr>
    </w:p>
    <w:p>
      <w:pPr>
        <w:ind w:left="780" w:hanging="307"/>
        <w:spacing w:after="0"/>
        <w:tabs>
          <w:tab w:leader="none" w:pos="78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“Consumers” and “customers” refer interchangeably to end consumers. Examples include individuals shopping for insurance policies.</w:t>
      </w:r>
    </w:p>
    <w:p>
      <w:pPr>
        <w:spacing w:after="0" w:line="126" w:lineRule="exact"/>
        <w:rPr>
          <w:rFonts w:ascii="Arial" w:cs="Arial" w:eastAsia="Arial" w:hAnsi="Arial"/>
          <w:sz w:val="17"/>
          <w:szCs w:val="17"/>
          <w:color w:val="auto"/>
        </w:rPr>
      </w:pPr>
    </w:p>
    <w:p>
      <w:pPr>
        <w:ind w:left="780" w:right="460" w:hanging="307"/>
        <w:spacing w:after="0" w:line="279" w:lineRule="auto"/>
        <w:tabs>
          <w:tab w:leader="none" w:pos="780" w:val="left"/>
        </w:tabs>
        <w:numPr>
          <w:ilvl w:val="0"/>
          <w:numId w:val="2"/>
        </w:numPr>
        <w:rPr>
          <w:rFonts w:ascii="Arial" w:cs="Arial" w:eastAsia="Arial" w:hAnsi="Arial"/>
          <w:sz w:val="17"/>
          <w:szCs w:val="17"/>
          <w:color w:val="auto"/>
        </w:rPr>
      </w:pPr>
      <w:r>
        <w:rPr>
          <w:rFonts w:ascii="Arial" w:cs="Arial" w:eastAsia="Arial" w:hAnsi="Arial"/>
          <w:sz w:val="17"/>
          <w:szCs w:val="17"/>
          <w:color w:val="auto"/>
        </w:rPr>
        <w:t>“Digital consumer traffic” refers to visitors to the mobile, tablet, desktop and other digital platforms of our supply partners, as well as to our proprietary websites.</w:t>
      </w:r>
    </w:p>
    <w:p>
      <w:pPr>
        <w:spacing w:after="0" w:line="73" w:lineRule="exact"/>
        <w:rPr>
          <w:rFonts w:ascii="Arial" w:cs="Arial" w:eastAsia="Arial" w:hAnsi="Arial"/>
          <w:sz w:val="17"/>
          <w:szCs w:val="17"/>
          <w:color w:val="auto"/>
        </w:rPr>
      </w:pPr>
    </w:p>
    <w:p>
      <w:pPr>
        <w:ind w:left="780" w:right="140" w:hanging="307"/>
        <w:spacing w:after="0" w:line="279" w:lineRule="auto"/>
        <w:tabs>
          <w:tab w:leader="none" w:pos="780" w:val="left"/>
        </w:tabs>
        <w:numPr>
          <w:ilvl w:val="0"/>
          <w:numId w:val="2"/>
        </w:numPr>
        <w:rPr>
          <w:rFonts w:ascii="Arial" w:cs="Arial" w:eastAsia="Arial" w:hAnsi="Arial"/>
          <w:sz w:val="17"/>
          <w:szCs w:val="17"/>
          <w:color w:val="auto"/>
        </w:rPr>
      </w:pPr>
      <w:r>
        <w:rPr>
          <w:rFonts w:ascii="Arial" w:cs="Arial" w:eastAsia="Arial" w:hAnsi="Arial"/>
          <w:sz w:val="17"/>
          <w:szCs w:val="17"/>
          <w:color w:val="auto"/>
        </w:rPr>
        <w:t>“Direct-to-consumer” or “DTC” means the sale of insurance products or services directly to end consumers, without the use of retailers, brokers, agents or other intermediaries.</w:t>
      </w:r>
    </w:p>
    <w:p>
      <w:pPr>
        <w:spacing w:after="0" w:line="73" w:lineRule="exact"/>
        <w:rPr>
          <w:rFonts w:ascii="Arial" w:cs="Arial" w:eastAsia="Arial" w:hAnsi="Arial"/>
          <w:sz w:val="17"/>
          <w:szCs w:val="17"/>
          <w:color w:val="auto"/>
        </w:rPr>
      </w:pPr>
    </w:p>
    <w:p>
      <w:pPr>
        <w:ind w:left="780" w:hanging="307"/>
        <w:spacing w:after="0"/>
        <w:tabs>
          <w:tab w:leader="none" w:pos="780" w:val="left"/>
        </w:tabs>
        <w:numPr>
          <w:ilvl w:val="0"/>
          <w:numId w:val="2"/>
        </w:numPr>
        <w:rPr>
          <w:rFonts w:ascii="Arial" w:cs="Arial" w:eastAsia="Arial" w:hAnsi="Arial"/>
          <w:sz w:val="17"/>
          <w:szCs w:val="17"/>
          <w:color w:val="auto"/>
        </w:rPr>
      </w:pPr>
      <w:r>
        <w:rPr>
          <w:rFonts w:ascii="Arial" w:cs="Arial" w:eastAsia="Arial" w:hAnsi="Arial"/>
          <w:sz w:val="17"/>
          <w:szCs w:val="17"/>
          <w:color w:val="auto"/>
        </w:rPr>
        <w:t>“Distributor” means any company or individual that is involved in the distribution of insurance, such as an insurance agent or broker.</w:t>
      </w:r>
    </w:p>
    <w:p>
      <w:pPr>
        <w:spacing w:after="0" w:line="126" w:lineRule="exact"/>
        <w:rPr>
          <w:rFonts w:ascii="Arial" w:cs="Arial" w:eastAsia="Arial" w:hAnsi="Arial"/>
          <w:sz w:val="17"/>
          <w:szCs w:val="17"/>
          <w:color w:val="auto"/>
        </w:rPr>
      </w:pPr>
    </w:p>
    <w:p>
      <w:pPr>
        <w:ind w:left="780" w:right="240" w:hanging="307"/>
        <w:spacing w:after="0" w:line="279" w:lineRule="auto"/>
        <w:tabs>
          <w:tab w:leader="none" w:pos="780" w:val="left"/>
        </w:tabs>
        <w:numPr>
          <w:ilvl w:val="0"/>
          <w:numId w:val="2"/>
        </w:numPr>
        <w:rPr>
          <w:rFonts w:ascii="Arial" w:cs="Arial" w:eastAsia="Arial" w:hAnsi="Arial"/>
          <w:sz w:val="17"/>
          <w:szCs w:val="17"/>
          <w:color w:val="auto"/>
        </w:rPr>
      </w:pPr>
      <w:r>
        <w:rPr>
          <w:rFonts w:ascii="Arial" w:cs="Arial" w:eastAsia="Arial" w:hAnsi="Arial"/>
          <w:sz w:val="17"/>
          <w:szCs w:val="17"/>
          <w:color w:val="auto"/>
        </w:rPr>
        <w:t>“High-intent” consumer or customer means an in-market consumer that is actively browsing, researching or comparing the types of products or services that our partners sell.</w:t>
      </w:r>
    </w:p>
    <w:p>
      <w:pPr>
        <w:spacing w:after="0" w:line="73" w:lineRule="exact"/>
        <w:rPr>
          <w:rFonts w:ascii="Arial" w:cs="Arial" w:eastAsia="Arial" w:hAnsi="Arial"/>
          <w:sz w:val="17"/>
          <w:szCs w:val="17"/>
          <w:color w:val="auto"/>
        </w:rPr>
      </w:pPr>
    </w:p>
    <w:p>
      <w:pPr>
        <w:ind w:left="780" w:hanging="307"/>
        <w:spacing w:after="0"/>
        <w:tabs>
          <w:tab w:leader="none" w:pos="78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“InsurTech” means insurance technology.</w:t>
      </w:r>
    </w:p>
    <w:p>
      <w:pPr>
        <w:spacing w:after="0" w:line="15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860"/>
          </w:cols>
          <w:pgMar w:left="320" w:top="444" w:right="71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24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5180" cy="24765"/>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780" w:hanging="307"/>
        <w:spacing w:after="0"/>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“Inventory,” when referring to our supply partners, means the volume of Consumer Referral opportunities.</w:t>
      </w:r>
    </w:p>
    <w:p>
      <w:pPr>
        <w:spacing w:after="0" w:line="126" w:lineRule="exact"/>
        <w:rPr>
          <w:rFonts w:ascii="Arial" w:cs="Arial" w:eastAsia="Arial" w:hAnsi="Arial"/>
          <w:sz w:val="17"/>
          <w:szCs w:val="17"/>
          <w:color w:val="auto"/>
        </w:rPr>
      </w:pPr>
    </w:p>
    <w:p>
      <w:pPr>
        <w:ind w:left="780" w:right="420" w:hanging="307"/>
        <w:spacing w:after="0" w:line="279" w:lineRule="auto"/>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“Lifetime value” or “LTV” is a type of metric that many of our business partners use to measure the estimated total worth to a business of a customer over the expected period of their relationship.</w:t>
      </w:r>
    </w:p>
    <w:p>
      <w:pPr>
        <w:spacing w:after="0" w:line="73" w:lineRule="exact"/>
        <w:rPr>
          <w:rFonts w:ascii="Arial" w:cs="Arial" w:eastAsia="Arial" w:hAnsi="Arial"/>
          <w:sz w:val="17"/>
          <w:szCs w:val="17"/>
          <w:color w:val="auto"/>
        </w:rPr>
      </w:pPr>
    </w:p>
    <w:p>
      <w:pPr>
        <w:ind w:left="780" w:hanging="307"/>
        <w:spacing w:after="0"/>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“NAIC” means the National Association of Insurance Commissioners.</w:t>
      </w:r>
    </w:p>
    <w:p>
      <w:pPr>
        <w:spacing w:after="0" w:line="126" w:lineRule="exact"/>
        <w:rPr>
          <w:rFonts w:ascii="Arial" w:cs="Arial" w:eastAsia="Arial" w:hAnsi="Arial"/>
          <w:sz w:val="17"/>
          <w:szCs w:val="17"/>
          <w:color w:val="auto"/>
        </w:rPr>
      </w:pPr>
    </w:p>
    <w:p>
      <w:pPr>
        <w:jc w:val="both"/>
        <w:ind w:left="780" w:right="20" w:hanging="307"/>
        <w:spacing w:after="0" w:line="266" w:lineRule="auto"/>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“Open platform” refers to one of our two business models. In open platform transactions, we have separate agreements with demand partners and suppliers. We earn fees from our demand partners and separately pay a revenue share to suppliers and a fee to Internet search companies to drive consumers to our proprietary websites.</w:t>
      </w:r>
    </w:p>
    <w:p>
      <w:pPr>
        <w:spacing w:after="0" w:line="84" w:lineRule="exact"/>
        <w:rPr>
          <w:rFonts w:ascii="Arial" w:cs="Arial" w:eastAsia="Arial" w:hAnsi="Arial"/>
          <w:sz w:val="17"/>
          <w:szCs w:val="17"/>
          <w:color w:val="auto"/>
        </w:rPr>
      </w:pPr>
    </w:p>
    <w:p>
      <w:pPr>
        <w:ind w:left="780" w:hanging="307"/>
        <w:spacing w:after="0"/>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“Partner” refers to a buyer or seller on our platform, also referred to as “demand partners” and “supply partners,” respectively.</w:t>
      </w:r>
    </w:p>
    <w:p>
      <w:pPr>
        <w:spacing w:after="0" w:line="126" w:lineRule="exact"/>
        <w:rPr>
          <w:rFonts w:ascii="Arial" w:cs="Arial" w:eastAsia="Arial" w:hAnsi="Arial"/>
          <w:sz w:val="17"/>
          <w:szCs w:val="17"/>
          <w:color w:val="auto"/>
        </w:rPr>
      </w:pPr>
    </w:p>
    <w:p>
      <w:pPr>
        <w:ind w:left="1300" w:right="440" w:hanging="415"/>
        <w:spacing w:after="0" w:line="311" w:lineRule="auto"/>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color w:val="auto"/>
        </w:rPr>
        <w:t>“Demand partner” refers to a buyer on our platform. As discussed under “Business—Our target audience,” our demand partners are generally insurance carriers and distributors looking to target high-intent consumers deep in their purchase journey.</w:t>
      </w:r>
    </w:p>
    <w:p>
      <w:pPr>
        <w:spacing w:after="0" w:line="51" w:lineRule="exact"/>
        <w:rPr>
          <w:rFonts w:ascii="Arial" w:cs="Arial" w:eastAsia="Arial" w:hAnsi="Arial"/>
          <w:sz w:val="16"/>
          <w:szCs w:val="16"/>
          <w:color w:val="auto"/>
        </w:rPr>
      </w:pPr>
    </w:p>
    <w:p>
      <w:pPr>
        <w:jc w:val="both"/>
        <w:ind w:left="1300" w:hanging="415"/>
        <w:spacing w:after="0" w:line="266" w:lineRule="auto"/>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color w:val="auto"/>
        </w:rPr>
        <w:t>“Supply partner” or “supplier” refers to a seller to our platform. As discussed under “Business—Our target audience,” our supply partners are primarily insurance carriers looking to maximize the value of non-converting or low LTV consumers, and insurance-focused research destinations looking to monetize high-intent consumers.</w:t>
      </w:r>
    </w:p>
    <w:p>
      <w:pPr>
        <w:spacing w:after="0" w:line="84" w:lineRule="exact"/>
        <w:rPr>
          <w:rFonts w:ascii="Arial" w:cs="Arial" w:eastAsia="Arial" w:hAnsi="Arial"/>
          <w:sz w:val="17"/>
          <w:szCs w:val="17"/>
          <w:color w:val="auto"/>
        </w:rPr>
      </w:pPr>
    </w:p>
    <w:p>
      <w:pPr>
        <w:ind w:left="780" w:right="140" w:hanging="307"/>
        <w:spacing w:after="0" w:line="261" w:lineRule="auto"/>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“Private platform” refers to one of our two business models. In private platform transactions, demand partners and suppliers contract with one another directly and leverage our platform to facilitate transparent, real-time transactions utilizing the reporting and analytical tools available to them from use of our platform. We charge a fee based on the Transaction Value of the Consumer Referrals sold through private platform transactions.</w:t>
      </w:r>
    </w:p>
    <w:p>
      <w:pPr>
        <w:spacing w:after="0" w:line="89" w:lineRule="exact"/>
        <w:rPr>
          <w:rFonts w:ascii="Arial" w:cs="Arial" w:eastAsia="Arial" w:hAnsi="Arial"/>
          <w:sz w:val="17"/>
          <w:szCs w:val="17"/>
          <w:color w:val="auto"/>
        </w:rPr>
      </w:pPr>
    </w:p>
    <w:p>
      <w:pPr>
        <w:ind w:left="780" w:right="40" w:hanging="307"/>
        <w:spacing w:after="0" w:line="279" w:lineRule="auto"/>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“Proprietary” means, when used in reference to our properties, the websites and other digital properties that we own and operate. Our proprietary properties are a source of Consumer Referrals on our platform.</w:t>
      </w:r>
    </w:p>
    <w:p>
      <w:pPr>
        <w:spacing w:after="0" w:line="73" w:lineRule="exact"/>
        <w:rPr>
          <w:rFonts w:ascii="Arial" w:cs="Arial" w:eastAsia="Arial" w:hAnsi="Arial"/>
          <w:sz w:val="17"/>
          <w:szCs w:val="17"/>
          <w:color w:val="auto"/>
        </w:rPr>
      </w:pPr>
    </w:p>
    <w:p>
      <w:pPr>
        <w:ind w:left="780" w:hanging="307"/>
        <w:spacing w:after="0"/>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“Transaction Value” means the total gross dollars transacted by our partners on our platform.</w:t>
      </w:r>
    </w:p>
    <w:p>
      <w:pPr>
        <w:spacing w:after="0" w:line="126" w:lineRule="exact"/>
        <w:rPr>
          <w:rFonts w:ascii="Arial" w:cs="Arial" w:eastAsia="Arial" w:hAnsi="Arial"/>
          <w:sz w:val="17"/>
          <w:szCs w:val="17"/>
          <w:color w:val="auto"/>
        </w:rPr>
      </w:pPr>
    </w:p>
    <w:p>
      <w:pPr>
        <w:ind w:left="780" w:right="500" w:hanging="307"/>
        <w:spacing w:after="0" w:line="279" w:lineRule="auto"/>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“Vertical” means a market dedicated to a specific set of products or services sold to end consumers. Examples include property &amp; casualty insurance, life insurance, health insurance, and travel.</w:t>
      </w:r>
    </w:p>
    <w:p>
      <w:pPr>
        <w:spacing w:after="0" w:line="73" w:lineRule="exact"/>
        <w:rPr>
          <w:rFonts w:ascii="Arial" w:cs="Arial" w:eastAsia="Arial" w:hAnsi="Arial"/>
          <w:sz w:val="17"/>
          <w:szCs w:val="17"/>
          <w:color w:val="auto"/>
        </w:rPr>
      </w:pPr>
    </w:p>
    <w:p>
      <w:pPr>
        <w:ind w:left="780" w:hanging="307"/>
        <w:spacing w:after="0"/>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“Yield” means the return to our sellers on their inventory of Consumer Referrals sold on our platform.</w:t>
      </w:r>
    </w:p>
    <w:p>
      <w:pPr>
        <w:spacing w:after="0" w:line="15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780"/>
          </w:cols>
          <w:pgMar w:left="320" w:top="444" w:right="79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24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5180" cy="24765"/>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OUR COMPANY</w:t>
      </w:r>
    </w:p>
    <w:p>
      <w:pPr>
        <w:spacing w:after="0" w:line="120" w:lineRule="exact"/>
        <w:rPr>
          <w:sz w:val="20"/>
          <w:szCs w:val="20"/>
          <w:color w:val="auto"/>
        </w:rPr>
      </w:pPr>
    </w:p>
    <w:p>
      <w:pPr>
        <w:ind w:left="380" w:right="20"/>
        <w:spacing w:after="0" w:line="283" w:lineRule="auto"/>
        <w:rPr>
          <w:sz w:val="20"/>
          <w:szCs w:val="20"/>
          <w:color w:val="auto"/>
        </w:rPr>
      </w:pPr>
      <w:r>
        <w:rPr>
          <w:rFonts w:ascii="Arial" w:cs="Arial" w:eastAsia="Arial" w:hAnsi="Arial"/>
          <w:sz w:val="16"/>
          <w:szCs w:val="16"/>
          <w:color w:val="auto"/>
        </w:rPr>
        <w:t>Our mission is to help insurance carriers and distributors target and acquire customers more efficiently and at greater scale through technology and data science. Our technology platform brings leading insurance carriers and high-intent consumers together through a real-time, transparent, and results-driven ecosystem. We believe we are the largest online customer acquisition channel in our core verticals of property &amp; casualty insurance, health insurance, and life insurance, supporting over $1 billion in Transaction Value across our platform over the last two years.</w:t>
      </w:r>
    </w:p>
    <w:p>
      <w:pPr>
        <w:spacing w:after="0" w:line="162" w:lineRule="exact"/>
        <w:rPr>
          <w:sz w:val="20"/>
          <w:szCs w:val="20"/>
          <w:color w:val="auto"/>
        </w:rPr>
      </w:pPr>
    </w:p>
    <w:p>
      <w:pPr>
        <w:ind w:left="380" w:right="260"/>
        <w:spacing w:after="0" w:line="283" w:lineRule="auto"/>
        <w:rPr>
          <w:sz w:val="20"/>
          <w:szCs w:val="20"/>
          <w:color w:val="auto"/>
        </w:rPr>
      </w:pPr>
      <w:r>
        <w:rPr>
          <w:rFonts w:ascii="Arial" w:cs="Arial" w:eastAsia="Arial" w:hAnsi="Arial"/>
          <w:sz w:val="16"/>
          <w:szCs w:val="16"/>
          <w:color w:val="auto"/>
        </w:rPr>
        <w:t>We believe in the disruptive power of transparency. Traditionally, insurance customer acquisition platforms operated in a black box. We recognized that a consumer may be valued differently by one insurer versus another; therefore, insurers should be able to determine pricing granularly based on the value that a particular customer segment is expected to bring to their business. As a result, we developed a technology platform that powers an ecosystem where buyers and sellers can transact with full transparency, control, and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1089660</wp:posOffset>
            </wp:positionH>
            <wp:positionV relativeFrom="paragraph">
              <wp:posOffset>127635</wp:posOffset>
            </wp:positionV>
            <wp:extent cx="4963795" cy="22078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63795" cy="2207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80"/>
        <w:spacing w:after="0" w:line="257" w:lineRule="auto"/>
        <w:rPr>
          <w:sz w:val="20"/>
          <w:szCs w:val="20"/>
          <w:color w:val="auto"/>
        </w:rPr>
      </w:pPr>
      <w:r>
        <w:rPr>
          <w:rFonts w:ascii="Arial" w:cs="Arial" w:eastAsia="Arial" w:hAnsi="Arial"/>
          <w:sz w:val="17"/>
          <w:szCs w:val="17"/>
          <w:color w:val="auto"/>
        </w:rPr>
        <w:t>We have multi-faceted relationships with top-tier insurance carriers and distributors. A buyer or a demand partner within our ecosystem is generally an insurance carrier or distributor seeking to reach high-intent insurance consumers. A seller or a supply partner is typically an insurance carrier looking to maximize the value of non-converting or low LTV consumers, or an insurance-focused research destination looking to monetize the high-intent insurance shoppers on their websites. Our model’s versatility allows for the same insurance carrier to be both a demand and supply partner, which deepens the partner’s relationship with us. In fact, it is this supply partnership that presents insurance carriers with a highly differentiated monetization opportunity, enabling them to capture revenue from website visitors who either do not qualify for a policy or otherwise may be more valuable as a potential referral to another carrier.</w:t>
      </w:r>
    </w:p>
    <w:p>
      <w:pPr>
        <w:spacing w:after="0" w:line="11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800"/>
          </w:cols>
          <w:pgMar w:left="320" w:top="444" w:right="77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24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5180" cy="24765"/>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1097915</wp:posOffset>
            </wp:positionH>
            <wp:positionV relativeFrom="paragraph">
              <wp:posOffset>198120</wp:posOffset>
            </wp:positionV>
            <wp:extent cx="4955540" cy="26168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55540" cy="2616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 w:right="20"/>
        <w:spacing w:after="0" w:line="307" w:lineRule="auto"/>
        <w:rPr>
          <w:sz w:val="20"/>
          <w:szCs w:val="20"/>
          <w:color w:val="auto"/>
        </w:rPr>
      </w:pPr>
      <w:r>
        <w:rPr>
          <w:rFonts w:ascii="Arial" w:cs="Arial" w:eastAsia="Arial" w:hAnsi="Arial"/>
          <w:sz w:val="15"/>
          <w:szCs w:val="15"/>
          <w:color w:val="auto"/>
        </w:rPr>
        <w:t>For the twelve month period ended June 30, 2020, we had 15 of the top 20 largest auto insurance carriers by customer acquisition spend as demand partners on our platform, accounting for 39.6% of our revenue. Of these demand partners, 66.7% were also supply partners in our ecosystem. On a monthly basis, an average of 25.6 million consumers shop for insurance products through the websites of our diversified group of supply partners and our proprietary websites, driving an average of over 5.9 million Consumer Referrals on our platform for the twelve month period ended June 30, 2020.</w:t>
      </w:r>
    </w:p>
    <w:p>
      <w:pPr>
        <w:spacing w:after="0" w:line="148" w:lineRule="exact"/>
        <w:rPr>
          <w:sz w:val="20"/>
          <w:szCs w:val="20"/>
          <w:color w:val="auto"/>
        </w:rPr>
      </w:pPr>
    </w:p>
    <w:p>
      <w:pPr>
        <w:ind w:left="380"/>
        <w:spacing w:after="0" w:line="258" w:lineRule="auto"/>
        <w:rPr>
          <w:sz w:val="20"/>
          <w:szCs w:val="20"/>
          <w:color w:val="auto"/>
        </w:rPr>
      </w:pPr>
      <w:r>
        <w:rPr>
          <w:rFonts w:ascii="Arial" w:cs="Arial" w:eastAsia="Arial" w:hAnsi="Arial"/>
          <w:sz w:val="17"/>
          <w:szCs w:val="17"/>
          <w:color w:val="auto"/>
        </w:rPr>
        <w:t>We believe our technology is a key differentiator and a powerful driver of our performance. We maintain deep, custom integrations with partners representing the majority of our Transaction Value to enable automated, data-driven processes that optimize our partners’ customer acquisition spend and revenue. Through our platform, our insurance carrier partners can target and price across over 35 separate consumer attributes to manage customized acquisition strategies. We enable our insurance partners to target consumers based on a precise calculation of the expected lifetime value to that partner and to make real-time, automated customer acquisition decisions through a combination of granular price management tools and robust predictive analytics capabilities.</w:t>
      </w:r>
    </w:p>
    <w:p>
      <w:pPr>
        <w:spacing w:after="0" w:line="181" w:lineRule="exact"/>
        <w:rPr>
          <w:sz w:val="20"/>
          <w:szCs w:val="20"/>
          <w:color w:val="auto"/>
        </w:rPr>
      </w:pPr>
    </w:p>
    <w:p>
      <w:pPr>
        <w:ind w:left="380" w:right="40"/>
        <w:spacing w:after="0" w:line="279" w:lineRule="auto"/>
        <w:rPr>
          <w:sz w:val="20"/>
          <w:szCs w:val="20"/>
          <w:color w:val="auto"/>
        </w:rPr>
      </w:pPr>
      <w:r>
        <w:rPr>
          <w:rFonts w:ascii="Arial" w:cs="Arial" w:eastAsia="Arial" w:hAnsi="Arial"/>
          <w:sz w:val="17"/>
          <w:szCs w:val="17"/>
          <w:color w:val="auto"/>
        </w:rPr>
        <w:t>We built our business model to align the interests of all parties participating on our platform. We generate revenue by earning a fee for each Consumer Referral sold on our platform. Our revenue is not contingent on the sale of an insurance product to the consumer.</w:t>
      </w:r>
    </w:p>
    <w:p>
      <w:pPr>
        <w:spacing w:after="0" w:line="9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740"/>
          </w:cols>
          <w:pgMar w:left="320" w:top="444" w:right="83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24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5180" cy="24765"/>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380"/>
        <w:spacing w:after="0" w:line="259" w:lineRule="auto"/>
        <w:rPr>
          <w:sz w:val="20"/>
          <w:szCs w:val="20"/>
          <w:color w:val="auto"/>
        </w:rPr>
      </w:pPr>
      <w:r>
        <w:rPr>
          <w:rFonts w:ascii="Arial" w:cs="Arial" w:eastAsia="Arial" w:hAnsi="Arial"/>
          <w:sz w:val="17"/>
          <w:szCs w:val="17"/>
          <w:color w:val="auto"/>
        </w:rPr>
        <w:t>We designed our business model to be capital efficient, with high operating leverage and cash flow conversion. Since inception, we have funded our growth through internally generated cash flow with no outside primary capital. Our strong cash flow generation is driven by (i) the nature of our revenue model, which is fee based and generated at the time a Consumer Referral is sold, and (ii) our proprietary technology platform, which is highly scalable and requires minimal capital expenditure requirements ($0.1 million for the year ended December 31, 2019 and $0.1 million for the six month period ended June 30, 2020).</w:t>
      </w:r>
    </w:p>
    <w:p>
      <w:pPr>
        <w:spacing w:after="0" w:line="181" w:lineRule="exact"/>
        <w:rPr>
          <w:sz w:val="20"/>
          <w:szCs w:val="20"/>
          <w:color w:val="auto"/>
        </w:rPr>
      </w:pPr>
    </w:p>
    <w:p>
      <w:pPr>
        <w:jc w:val="both"/>
        <w:ind w:left="380" w:right="380"/>
        <w:spacing w:after="0" w:line="266" w:lineRule="auto"/>
        <w:rPr>
          <w:sz w:val="20"/>
          <w:szCs w:val="20"/>
          <w:color w:val="auto"/>
        </w:rPr>
      </w:pPr>
      <w:r>
        <w:rPr>
          <w:rFonts w:ascii="Arial" w:cs="Arial" w:eastAsia="Arial" w:hAnsi="Arial"/>
          <w:sz w:val="17"/>
          <w:szCs w:val="17"/>
          <w:color w:val="auto"/>
        </w:rPr>
        <w:t>The foundation of our success is our company culture. Personal development is critical to our team’s engagement and retention, and we continually invest to support our core values of open-mindedness, intellectual curiosity, candor, and humility. This has resulted in a growth-minded team, with exceptionally low turnover, committed to building great products and the long-term success of our partners.</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We are poised to capitalize on the expected growth in our core insurance verticals and the continued shift in these markets to direct, digital distribution.</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aim to drive deeper adoption and integration of our platform within the insurance ecosystem to continue delivering strong results to our partners.</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While our focus remains on insurance, we plan to continue to grow opportunistically in sectors with similar market dynamics.</w:t>
      </w:r>
    </w:p>
    <w:p>
      <w:pPr>
        <w:spacing w:after="0" w:line="200" w:lineRule="exact"/>
        <w:rPr>
          <w:sz w:val="20"/>
          <w:szCs w:val="20"/>
          <w:color w:val="auto"/>
        </w:rPr>
      </w:pPr>
    </w:p>
    <w:p>
      <w:pPr>
        <w:spacing w:after="0" w:line="206"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OUR MARKET OPPORTUNITY</w:t>
      </w:r>
    </w:p>
    <w:p>
      <w:pPr>
        <w:spacing w:after="0" w:line="223" w:lineRule="exact"/>
        <w:rPr>
          <w:sz w:val="20"/>
          <w:szCs w:val="20"/>
          <w:color w:val="auto"/>
        </w:rPr>
      </w:pPr>
    </w:p>
    <w:p>
      <w:pPr>
        <w:ind w:left="380" w:right="60"/>
        <w:spacing w:after="0" w:line="258" w:lineRule="auto"/>
        <w:rPr>
          <w:sz w:val="20"/>
          <w:szCs w:val="20"/>
          <w:color w:val="auto"/>
        </w:rPr>
      </w:pPr>
      <w:r>
        <w:rPr>
          <w:rFonts w:ascii="Arial" w:cs="Arial" w:eastAsia="Arial" w:hAnsi="Arial"/>
          <w:sz w:val="17"/>
          <w:szCs w:val="17"/>
          <w:color w:val="auto"/>
        </w:rPr>
        <w:t>Insurance is one of the largest industries in the United States, with attractive growth characteristics and market fundamentals. Insurance companies wrote over $2 trillion in premiums in 2019, and the industry grew at a 6% CAGR from 2017 through 2019, according to the NAIC. Demand for insurance products is stable, due to, in many instances, coverage being mandatory by law (for example, auto insurance) or federally subsidized (for example, senior health insurance). The industry as a whole is highly competitive and invests heavily in customer acquisition. Total customer acquisition spend in the insurance industry was approximately $144 billion in 2019, representing year over year growth of approximately 6%, according to S&amp;P Global Market Intelligence.</w:t>
      </w:r>
    </w:p>
    <w:p>
      <w:pPr>
        <w:spacing w:after="0" w:line="181" w:lineRule="exact"/>
        <w:rPr>
          <w:sz w:val="20"/>
          <w:szCs w:val="20"/>
          <w:color w:val="auto"/>
        </w:rPr>
      </w:pPr>
    </w:p>
    <w:p>
      <w:pPr>
        <w:ind w:left="380" w:right="280"/>
        <w:spacing w:after="0" w:line="279" w:lineRule="auto"/>
        <w:rPr>
          <w:sz w:val="20"/>
          <w:szCs w:val="20"/>
          <w:color w:val="auto"/>
        </w:rPr>
      </w:pPr>
      <w:r>
        <w:rPr>
          <w:rFonts w:ascii="Arial" w:cs="Arial" w:eastAsia="Arial" w:hAnsi="Arial"/>
          <w:sz w:val="17"/>
          <w:szCs w:val="17"/>
          <w:color w:val="auto"/>
        </w:rPr>
        <w:t>Our technology platform was created to serve and grow with our insurance end markets. As such, we believe secular trends in the insurance industry will continue to provide strong tailwinds for our business.</w:t>
      </w:r>
    </w:p>
    <w:p>
      <w:pPr>
        <w:spacing w:after="0" w:line="73" w:lineRule="exact"/>
        <w:rPr>
          <w:sz w:val="20"/>
          <w:szCs w:val="20"/>
          <w:color w:val="auto"/>
        </w:rPr>
      </w:pPr>
    </w:p>
    <w:p>
      <w:pPr>
        <w:ind w:left="780" w:right="20" w:hanging="410"/>
        <w:spacing w:after="0" w:line="273"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Direct-to-consumer is the fastest growing insurance distribution channel. </w:t>
      </w:r>
      <w:r>
        <w:rPr>
          <w:rFonts w:ascii="Arial" w:cs="Arial" w:eastAsia="Arial" w:hAnsi="Arial"/>
          <w:sz w:val="16"/>
          <w:szCs w:val="16"/>
          <w:color w:val="auto"/>
        </w:rPr>
        <w:t>In the auto insurance industry, there are direct-to-consumer carriers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as Progressive and GEICO) and more traditional, agent-based carriers (such as Liberty Mutual and Nationwide). DTC carriers accounted for approximately 30% of industry premiums in 2018, up from approximately 23% in 2013, according to S&amp;P Global Market Intelligence. This industry shift to more direct distribution is accelerating. According to J.D. Power, GEICO and Progressive captured nearly 84% of premium growth within the auto insurance industry in 2019. This growth is largely driven by their outsized investments, relative to peers, in direct customer acquisition channels. According to S&amp;P Global Market Intelligence, GEICO’s customer acquisition spend increased from $0.9 billion in 2017 to $1.7 billion in 2019, representing 82% growth, and Progressive’s customer acquisition spend increased from $1.5 billion in 2017 to $1.9 billion in 2019, representing 28% growth. Traditional, agent-based carriers have responded by investing more heavily in direct customer acquisition efforts themselves, as well as launching digital brands (such as Nationwide and Spire), acquiring digital agencies (such as Prudential and AssuranceIQ), or acquiring digital insurers (such as Allstate and Squaretrade). At the same time, a number of personal lines InsurTech companies have entered the space to capitalize on this shift (such as Root, Lemonade, and Hippo).</w:t>
      </w:r>
    </w:p>
    <w:p>
      <w:pPr>
        <w:spacing w:after="0" w:line="67" w:lineRule="exact"/>
        <w:rPr>
          <w:rFonts w:ascii="Arial" w:cs="Arial" w:eastAsia="Arial" w:hAnsi="Arial"/>
          <w:sz w:val="16"/>
          <w:szCs w:val="16"/>
          <w:color w:val="auto"/>
        </w:rPr>
      </w:pPr>
    </w:p>
    <w:p>
      <w:pPr>
        <w:ind w:left="800" w:right="380"/>
        <w:spacing w:after="0" w:line="290" w:lineRule="auto"/>
        <w:rPr>
          <w:rFonts w:ascii="Arial" w:cs="Arial" w:eastAsia="Arial" w:hAnsi="Arial"/>
          <w:sz w:val="16"/>
          <w:szCs w:val="16"/>
          <w:color w:val="auto"/>
        </w:rPr>
      </w:pPr>
      <w:r>
        <w:rPr>
          <w:rFonts w:ascii="Arial" w:cs="Arial" w:eastAsia="Arial" w:hAnsi="Arial"/>
          <w:sz w:val="16"/>
          <w:szCs w:val="16"/>
          <w:color w:val="auto"/>
        </w:rPr>
        <w:t>Similarly, tech-enabled distribution businesses focused on health and life insurance, such as eHealth, GoHealth, and SelectQuote, have also emerged in recent years, with revenue growth in excess of 40% in 2019. These companies advertise and acquire customers primarily through digital means and rank among the largest distribution platforms for health and life insurance products.</w:t>
      </w:r>
    </w:p>
    <w:p>
      <w:pPr>
        <w:spacing w:after="0" w:line="9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860"/>
          </w:cols>
          <w:pgMar w:left="320" w:top="444" w:right="71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24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5180" cy="24765"/>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780" w:right="180" w:hanging="410"/>
        <w:spacing w:after="0" w:line="297" w:lineRule="auto"/>
        <w:tabs>
          <w:tab w:leader="none" w:pos="78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More insurance consumers are shopping online. </w:t>
      </w:r>
      <w:r>
        <w:rPr>
          <w:rFonts w:ascii="Arial" w:cs="Arial" w:eastAsia="Arial" w:hAnsi="Arial"/>
          <w:sz w:val="15"/>
          <w:szCs w:val="15"/>
          <w:color w:val="auto"/>
        </w:rPr>
        <w:t>Consumers are increasingly using the internet not just for research and price discovery but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purchase insurance as well. The J.D. Power 2020 U.S. Insurance Shopping Study suggests that 90% of consumers are open to purchasing their auto insurance online. A decade ago, 35% of consumers who had not made an online auto insurance policy purchase in the past said they would consider doing so in the future, according to the Comscore 2010 Online Auto Insurance Shopping Report. This shift is not only prevalent among younger insurance shoppers. According to LexisNexis Insurance Demand Meter, consumers 56 and older are the fastest growing online auto insurance shoppers in the first quarter of 2020. This older demographic is also going online for health information. According to BMC Health Services Research, 63% of people age 65 and older had obtained health information from a website in 2013.</w:t>
      </w:r>
    </w:p>
    <w:p>
      <w:pPr>
        <w:spacing w:after="0" w:line="64" w:lineRule="exact"/>
        <w:rPr>
          <w:rFonts w:ascii="Arial" w:cs="Arial" w:eastAsia="Arial" w:hAnsi="Arial"/>
          <w:sz w:val="15"/>
          <w:szCs w:val="15"/>
          <w:color w:val="auto"/>
        </w:rPr>
      </w:pPr>
    </w:p>
    <w:p>
      <w:pPr>
        <w:ind w:left="780" w:right="40" w:hanging="410"/>
        <w:spacing w:after="0" w:line="258" w:lineRule="auto"/>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Insurance customer acquisition spending is growing. </w:t>
      </w:r>
      <w:r>
        <w:rPr>
          <w:rFonts w:ascii="Arial" w:cs="Arial" w:eastAsia="Arial" w:hAnsi="Arial"/>
          <w:sz w:val="17"/>
          <w:szCs w:val="17"/>
          <w:color w:val="auto"/>
        </w:rPr>
        <w:t>Total insurance customer acquisition spending in 2019 totaled $144 billion, up 6% over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previous year, according to S&amp;P Global Market Intelligence. In fact, two of the top three most-advertised brands in the U.S. across traditional and online channels are insurance companies—Progressive and GEICO. Progressive’s customer acquisition spend grew approximately 29% year over year to nearly $1.7 billion in 2019, while GEICO’s customer acquisition spend grew almost 12% to nearly $2 billion in the same period. In the face of such aggressive spending and customer acquisition by DTC insurance carriers such as Progressive and GEICO, agent-based carriers are compelled to spend heavily to remain competitive.</w:t>
      </w:r>
    </w:p>
    <w:p>
      <w:pPr>
        <w:spacing w:after="0" w:line="91" w:lineRule="exact"/>
        <w:rPr>
          <w:rFonts w:ascii="Arial" w:cs="Arial" w:eastAsia="Arial" w:hAnsi="Arial"/>
          <w:sz w:val="17"/>
          <w:szCs w:val="17"/>
          <w:color w:val="auto"/>
        </w:rPr>
      </w:pPr>
    </w:p>
    <w:p>
      <w:pPr>
        <w:ind w:left="780" w:hanging="410"/>
        <w:spacing w:after="0" w:line="258" w:lineRule="auto"/>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Digital customer acquisition spending by insurers has plenty of headroom. </w:t>
      </w:r>
      <w:r>
        <w:rPr>
          <w:rFonts w:ascii="Arial" w:cs="Arial" w:eastAsia="Arial" w:hAnsi="Arial"/>
          <w:sz w:val="17"/>
          <w:szCs w:val="17"/>
          <w:color w:val="auto"/>
        </w:rPr>
        <w:t>According to William Blair, insurance carriers lag in customer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acquisition spend in terms of percentage of budget allocated to digital. While the advertising industry as a whole now aligns its allocation of digital dollars with consumers’ time spent online (56% respectively in 2019), insurers allocate only 20-25% of their budgets to digital channels. Even category-leader Progressive is estimated to allocate only 30% of its budget to digital. William Blair further estimates that digital spend by the insurance industry is expected to grow at a 24% CAGR over the next six years, reaching approximately $16 billion by 2025, representing 31% of overall customer acquisition budgets.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1081405</wp:posOffset>
            </wp:positionH>
            <wp:positionV relativeFrom="paragraph">
              <wp:posOffset>139700</wp:posOffset>
            </wp:positionV>
            <wp:extent cx="4987925" cy="2453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87925" cy="245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880"/>
          </w:cols>
          <w:pgMar w:left="320" w:top="444" w:right="69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24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5180" cy="24765"/>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780" w:hanging="410"/>
        <w:spacing w:after="0" w:line="297" w:lineRule="auto"/>
        <w:tabs>
          <w:tab w:leader="none" w:pos="780" w:val="left"/>
        </w:tabs>
        <w:numPr>
          <w:ilvl w:val="0"/>
          <w:numId w:val="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Carriers and distributors are increasingly focused on optimizing customer acquisition budgets. </w:t>
      </w:r>
      <w:r>
        <w:rPr>
          <w:rFonts w:ascii="Arial" w:cs="Arial" w:eastAsia="Arial" w:hAnsi="Arial"/>
          <w:sz w:val="15"/>
          <w:szCs w:val="15"/>
          <w:color w:val="auto"/>
        </w:rPr>
        <w:t>Mass-market customer acquisition spend 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becoming more costly, leading carriers and distributors to increasingly focus on optimizing customer acquisition spend. They are able to do so by adopting the more sophisticated customer acquisition strategies enabled by data science. A significant percentage of marketers believe the inability to measure customer acquisition impact across channels and campaigns is one of their biggest challenges in demonstrating customer acquisition performance. We believe there is growing demand for improved transparency of Consumer Referral quality, for carriers to secure higher quality Consumer Referrals online, and for the ability to manage consumer acquisition spend across multiple vendors. A survey by CMO in February 2020 reported that marketing analytics spending is expected to increase by 56% in the next three years.</w:t>
      </w:r>
    </w:p>
    <w:p>
      <w:pPr>
        <w:spacing w:after="0" w:line="154" w:lineRule="exact"/>
        <w:rPr>
          <w:sz w:val="20"/>
          <w:szCs w:val="20"/>
          <w:color w:val="auto"/>
        </w:rPr>
      </w:pPr>
    </w:p>
    <w:p>
      <w:pPr>
        <w:ind w:left="380" w:right="80"/>
        <w:spacing w:after="0" w:line="274" w:lineRule="auto"/>
        <w:rPr>
          <w:sz w:val="20"/>
          <w:szCs w:val="20"/>
          <w:color w:val="auto"/>
        </w:rPr>
      </w:pPr>
      <w:r>
        <w:rPr>
          <w:rFonts w:ascii="Arial" w:cs="Arial" w:eastAsia="Arial" w:hAnsi="Arial"/>
          <w:sz w:val="16"/>
          <w:szCs w:val="16"/>
          <w:color w:val="auto"/>
        </w:rPr>
        <w:t>MediaAlpha is poised to capitalize on these trends. We believe we provide one of the leading technology platforms that enables insurance carriers and distributors to efficiently acquire customers online at scale. Our platform allows buyers to target consumers granularly and to determine their pricing based on how they value various consumer segments. Buyers leveraging our predictive analytics and data science capabilities make value-maximizing decisions on how to acquire customers. This results in greater customer acquisition efficiency and better return on investment, allowing us to attract more buyers into the ecosystem. Simultaneously, we provide our supply partners the insights and tools they need to drive competition for their high-intent consumers and maximize yield, which draws more supply partners into the ecosystem, providing our buyers with even more high-quality demand sources. As both demand and supply partners begin to see the benefits of the platform, we deepen our relationships with them through additional integrations that drive more data into the platform. All of this creates the powerful “flywheel” effect that has propelled our business forward as a result of the value created within our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1081405</wp:posOffset>
            </wp:positionH>
            <wp:positionV relativeFrom="paragraph">
              <wp:posOffset>132080</wp:posOffset>
            </wp:positionV>
            <wp:extent cx="4987925" cy="29521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87925" cy="295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OUR TARGET AUDIENCE</w:t>
      </w:r>
    </w:p>
    <w:p>
      <w:pPr>
        <w:spacing w:after="0" w:line="223" w:lineRule="exact"/>
        <w:rPr>
          <w:sz w:val="20"/>
          <w:szCs w:val="20"/>
          <w:color w:val="auto"/>
        </w:rPr>
      </w:pPr>
    </w:p>
    <w:p>
      <w:pPr>
        <w:ind w:left="380" w:right="40"/>
        <w:spacing w:after="0" w:line="302" w:lineRule="auto"/>
        <w:rPr>
          <w:sz w:val="20"/>
          <w:szCs w:val="20"/>
          <w:color w:val="auto"/>
        </w:rPr>
      </w:pPr>
      <w:r>
        <w:rPr>
          <w:rFonts w:ascii="Arial" w:cs="Arial" w:eastAsia="Arial" w:hAnsi="Arial"/>
          <w:sz w:val="15"/>
          <w:szCs w:val="15"/>
          <w:b w:val="1"/>
          <w:bCs w:val="1"/>
          <w:i w:val="1"/>
          <w:iCs w:val="1"/>
          <w:color w:val="auto"/>
        </w:rPr>
        <w:t>Our buyers</w:t>
      </w:r>
      <w:r>
        <w:rPr>
          <w:rFonts w:ascii="Arial" w:cs="Arial" w:eastAsia="Arial" w:hAnsi="Arial"/>
          <w:sz w:val="15"/>
          <w:szCs w:val="15"/>
          <w:color w:val="auto"/>
        </w:rPr>
        <w:t>: Our demand partners are insurance carriers and distributors looking to target high-intent consumers deep in their purchase journey. Repeat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buyers continue to be a strong driver of our growth, with 96.8% of our Transaction Value for 2019 driven by repeat buyers from 2018 (with Transaction Value from such repeat buyers increasing 35.6% in 2019) and 99.3% of our Transaction Value for the six month period ended June 30, 2020 driven by repeat buyers from 2019. Annual spend per demand partner on our platform who contribute over $1 million in Transaction Value annually has continued to increase from $5.0 million in 2018 to $6.0 million in 2019 and further to $7.7 million for the twelve months ended June 30, 2020.</w:t>
      </w:r>
    </w:p>
    <w:p>
      <w:pPr>
        <w:spacing w:after="0" w:line="8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880"/>
          </w:cols>
          <w:pgMar w:left="320" w:top="444" w:right="69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24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5180" cy="24765"/>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Our value proposition for buyers</w:t>
      </w:r>
    </w:p>
    <w:p>
      <w:pPr>
        <w:spacing w:after="0" w:line="126" w:lineRule="exact"/>
        <w:rPr>
          <w:sz w:val="20"/>
          <w:szCs w:val="20"/>
          <w:color w:val="auto"/>
        </w:rPr>
      </w:pPr>
    </w:p>
    <w:p>
      <w:pPr>
        <w:ind w:left="780" w:right="400" w:hanging="410"/>
        <w:spacing w:after="0" w:line="317" w:lineRule="auto"/>
        <w:tabs>
          <w:tab w:leader="none" w:pos="780" w:val="left"/>
        </w:tabs>
        <w:numPr>
          <w:ilvl w:val="0"/>
          <w:numId w:val="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Efficiency at scale. </w:t>
      </w:r>
      <w:r>
        <w:rPr>
          <w:rFonts w:ascii="Arial" w:cs="Arial" w:eastAsia="Arial" w:hAnsi="Arial"/>
          <w:sz w:val="15"/>
          <w:szCs w:val="15"/>
          <w:color w:val="auto"/>
        </w:rPr>
        <w:t>We believe we operate the insurance industry’s largest customer acquisition platform, delivering the volume insurance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companies need to drive meaningful business results, while also providing precise targeting capabilities to ensure they connect with the right prospects. We believe this gives our demand partners the ability to realize greater efficiencies relative to other customer acquisition channels.</w:t>
      </w:r>
    </w:p>
    <w:p>
      <w:pPr>
        <w:spacing w:after="0" w:line="50" w:lineRule="exact"/>
        <w:rPr>
          <w:rFonts w:ascii="Arial" w:cs="Arial" w:eastAsia="Arial" w:hAnsi="Arial"/>
          <w:sz w:val="15"/>
          <w:szCs w:val="15"/>
          <w:color w:val="auto"/>
        </w:rPr>
      </w:pPr>
    </w:p>
    <w:p>
      <w:pPr>
        <w:ind w:left="780" w:right="40" w:hanging="410"/>
        <w:spacing w:after="0" w:line="266" w:lineRule="auto"/>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Granular and transparent control. </w:t>
      </w:r>
      <w:r>
        <w:rPr>
          <w:rFonts w:ascii="Arial" w:cs="Arial" w:eastAsia="Arial" w:hAnsi="Arial"/>
          <w:sz w:val="17"/>
          <w:szCs w:val="17"/>
          <w:color w:val="auto"/>
        </w:rPr>
        <w:t>Our platform allows for real-time, granular control and full-source transparency with every buying and pricing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decision. We believe this gives our buyers the flexibility they need to realize favorable lifetime value relative to customer acquisition costs to maximize their revenue opportunities.</w:t>
      </w:r>
    </w:p>
    <w:p>
      <w:pPr>
        <w:spacing w:after="0" w:line="84" w:lineRule="exact"/>
        <w:rPr>
          <w:rFonts w:ascii="Arial" w:cs="Arial" w:eastAsia="Arial" w:hAnsi="Arial"/>
          <w:sz w:val="17"/>
          <w:szCs w:val="17"/>
          <w:color w:val="auto"/>
        </w:rPr>
      </w:pPr>
    </w:p>
    <w:p>
      <w:pPr>
        <w:ind w:left="780" w:right="480" w:hanging="410"/>
        <w:spacing w:after="0" w:line="266" w:lineRule="auto"/>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Unparalleled partnership. </w:t>
      </w:r>
      <w:r>
        <w:rPr>
          <w:rFonts w:ascii="Arial" w:cs="Arial" w:eastAsia="Arial" w:hAnsi="Arial"/>
          <w:sz w:val="17"/>
          <w:szCs w:val="17"/>
          <w:color w:val="auto"/>
        </w:rPr>
        <w:t>With a fully managed service option, custom integrations, and industry-leading technology, we are dedicated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providing long-term value to our buyers’ businesses. We have designed our platform to put the best interests of our partners first, fostering a healthy ecosystem within which buyers can transact with confidence.</w:t>
      </w:r>
    </w:p>
    <w:p>
      <w:pPr>
        <w:spacing w:after="0" w:line="174" w:lineRule="exact"/>
        <w:rPr>
          <w:sz w:val="20"/>
          <w:szCs w:val="20"/>
          <w:color w:val="auto"/>
        </w:rPr>
      </w:pPr>
    </w:p>
    <w:p>
      <w:pPr>
        <w:ind w:left="380"/>
        <w:spacing w:after="0" w:line="299" w:lineRule="auto"/>
        <w:rPr>
          <w:sz w:val="20"/>
          <w:szCs w:val="20"/>
          <w:color w:val="auto"/>
        </w:rPr>
      </w:pPr>
      <w:r>
        <w:rPr>
          <w:rFonts w:ascii="Arial" w:cs="Arial" w:eastAsia="Arial" w:hAnsi="Arial"/>
          <w:sz w:val="15"/>
          <w:szCs w:val="15"/>
          <w:b w:val="1"/>
          <w:bCs w:val="1"/>
          <w:i w:val="1"/>
          <w:iCs w:val="1"/>
          <w:color w:val="auto"/>
        </w:rPr>
        <w:t>Our Sellers</w:t>
      </w:r>
      <w:r>
        <w:rPr>
          <w:rFonts w:ascii="Arial" w:cs="Arial" w:eastAsia="Arial" w:hAnsi="Arial"/>
          <w:sz w:val="15"/>
          <w:szCs w:val="15"/>
          <w:color w:val="auto"/>
        </w:rPr>
        <w:t>: Our supply partners use our platform to monetize their digital consumer traffic. Our supply partners are primarily insurance carriers looking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maximize the value of non-converting or low LTV consumers, and insurance-focused research destinations looking to monetize high-intent customers. Repeat sellers continue to be a strong driver of our growth, with 95.7% of our Transaction Value for 2019 driven by repeat sellers from 2018 (with Transaction Value from such repeat sellers increasing 28.7% in 2019) and 99.7% of our Transaction Value for the six month period ended June 30, 2020 driven by repeat sellers from 2019. Annual spend per supply partner who contribute over $1 million in Transaction Value annually on our platform has continued to increase from $6.5 million in 2018 to $7.8 million in 2019 and further to $9.0 million for the twelve month period ended June 30, 2020.</w:t>
      </w:r>
    </w:p>
    <w:p>
      <w:pPr>
        <w:spacing w:after="0" w:line="256"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Our value proposition for sellers</w:t>
      </w:r>
    </w:p>
    <w:p>
      <w:pPr>
        <w:spacing w:after="0" w:line="126" w:lineRule="exact"/>
        <w:rPr>
          <w:sz w:val="20"/>
          <w:szCs w:val="20"/>
          <w:color w:val="auto"/>
        </w:rPr>
      </w:pPr>
    </w:p>
    <w:p>
      <w:pPr>
        <w:ind w:left="780" w:right="540" w:hanging="410"/>
        <w:spacing w:after="0" w:line="279" w:lineRule="auto"/>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Yield maximization. </w:t>
      </w:r>
      <w:r>
        <w:rPr>
          <w:rFonts w:ascii="Arial" w:cs="Arial" w:eastAsia="Arial" w:hAnsi="Arial"/>
          <w:sz w:val="17"/>
          <w:szCs w:val="17"/>
          <w:color w:val="auto"/>
        </w:rPr>
        <w:t>Our proprietary technology platform provides sellers with a suite of optimization tools, as well as inventory and buyer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features that maximize competition for, and yield from, their high-intent consumers.</w:t>
      </w:r>
    </w:p>
    <w:p>
      <w:pPr>
        <w:spacing w:after="0" w:line="73" w:lineRule="exact"/>
        <w:rPr>
          <w:rFonts w:ascii="Arial" w:cs="Arial" w:eastAsia="Arial" w:hAnsi="Arial"/>
          <w:sz w:val="17"/>
          <w:szCs w:val="17"/>
          <w:color w:val="auto"/>
        </w:rPr>
      </w:pPr>
    </w:p>
    <w:p>
      <w:pPr>
        <w:ind w:left="780" w:right="140" w:hanging="410"/>
        <w:spacing w:after="0" w:line="266" w:lineRule="auto"/>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Predictive analytics. </w:t>
      </w:r>
      <w:r>
        <w:rPr>
          <w:rFonts w:ascii="Arial" w:cs="Arial" w:eastAsia="Arial" w:hAnsi="Arial"/>
          <w:sz w:val="17"/>
          <w:szCs w:val="17"/>
          <w:color w:val="auto"/>
        </w:rPr>
        <w:t>Through our platform’s advanced predictive analytics features, sellers can assess conversion probabilities and expected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 LTV for every consumer in real time. We believe the integration of these data science models with our sellers’ user experience decision engines is a unique differentiator of our business.</w:t>
      </w:r>
    </w:p>
    <w:p>
      <w:pPr>
        <w:spacing w:after="0" w:line="84" w:lineRule="exact"/>
        <w:rPr>
          <w:rFonts w:ascii="Arial" w:cs="Arial" w:eastAsia="Arial" w:hAnsi="Arial"/>
          <w:sz w:val="17"/>
          <w:szCs w:val="17"/>
          <w:color w:val="auto"/>
        </w:rPr>
      </w:pPr>
    </w:p>
    <w:p>
      <w:pPr>
        <w:ind w:left="780" w:right="240" w:hanging="410"/>
        <w:spacing w:after="0" w:line="266" w:lineRule="auto"/>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Real-time insights. </w:t>
      </w:r>
      <w:r>
        <w:rPr>
          <w:rFonts w:ascii="Arial" w:cs="Arial" w:eastAsia="Arial" w:hAnsi="Arial"/>
          <w:sz w:val="17"/>
          <w:szCs w:val="17"/>
          <w:color w:val="auto"/>
        </w:rPr>
        <w:t>We provide our sellers with unique data as to the type of consumer segments each buyer values. By providing in-depth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reporting and real-time, granular insights, our sellers have the ability to continuously optimize their own customer acquisition and monetization decisions.</w:t>
      </w:r>
    </w:p>
    <w:p>
      <w:pPr>
        <w:spacing w:after="0" w:line="174" w:lineRule="exact"/>
        <w:rPr>
          <w:sz w:val="20"/>
          <w:szCs w:val="20"/>
          <w:color w:val="auto"/>
        </w:rPr>
      </w:pPr>
    </w:p>
    <w:p>
      <w:pPr>
        <w:ind w:left="380" w:right="240"/>
        <w:spacing w:after="0" w:line="261" w:lineRule="auto"/>
        <w:rPr>
          <w:sz w:val="20"/>
          <w:szCs w:val="20"/>
          <w:color w:val="auto"/>
        </w:rPr>
      </w:pPr>
      <w:r>
        <w:rPr>
          <w:rFonts w:ascii="Arial" w:cs="Arial" w:eastAsia="Arial" w:hAnsi="Arial"/>
          <w:sz w:val="17"/>
          <w:szCs w:val="17"/>
          <w:b w:val="1"/>
          <w:bCs w:val="1"/>
          <w:i w:val="1"/>
          <w:iCs w:val="1"/>
          <w:color w:val="auto"/>
        </w:rPr>
        <w:t>Our End Consumers</w:t>
      </w:r>
      <w:r>
        <w:rPr>
          <w:rFonts w:ascii="Arial" w:cs="Arial" w:eastAsia="Arial" w:hAnsi="Arial"/>
          <w:sz w:val="17"/>
          <w:szCs w:val="17"/>
          <w:color w:val="auto"/>
        </w:rPr>
        <w:t>: Our end consumers are primarily high-intent, online insurance shoppers. Due to the broad participation of top-tier insurance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carriers within our ecosystem, consumers are able to more efficiently navigate a range of options and offers relevant to their policy searches. Through June 30, 2020, an average of 25.6 million consumers shopped for insurance products monthly through the websites of sellers on our platform and our proprietary websites.</w:t>
      </w:r>
    </w:p>
    <w:p>
      <w:pPr>
        <w:spacing w:after="0" w:line="11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880"/>
          </w:cols>
          <w:pgMar w:left="320" w:top="444" w:right="69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247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5180" cy="24765"/>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Our value proposition for end consumers</w:t>
      </w:r>
    </w:p>
    <w:p>
      <w:pPr>
        <w:spacing w:after="0" w:line="126" w:lineRule="exact"/>
        <w:rPr>
          <w:sz w:val="20"/>
          <w:szCs w:val="20"/>
          <w:color w:val="auto"/>
        </w:rPr>
      </w:pPr>
    </w:p>
    <w:p>
      <w:pPr>
        <w:ind w:left="780" w:right="60" w:hanging="410"/>
        <w:spacing w:after="0" w:line="317" w:lineRule="auto"/>
        <w:tabs>
          <w:tab w:leader="none" w:pos="78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Search relevancy. By enabling insurance carriers and distributors to apply sophisticated targeting, we facilitate the delivery of hyper-relevant product options to our end consumers based on consumer-provided demographics and other relevant characteristics. We believe this improves the overall research and purchase experience and allows our end consumers to make better real-time decisions.</w:t>
      </w:r>
    </w:p>
    <w:p>
      <w:pPr>
        <w:spacing w:after="0" w:line="50" w:lineRule="exact"/>
        <w:rPr>
          <w:rFonts w:ascii="Arial" w:cs="Arial" w:eastAsia="Arial" w:hAnsi="Arial"/>
          <w:sz w:val="15"/>
          <w:szCs w:val="15"/>
          <w:color w:val="auto"/>
        </w:rPr>
      </w:pPr>
    </w:p>
    <w:p>
      <w:pPr>
        <w:ind w:left="780" w:right="220" w:hanging="410"/>
        <w:spacing w:after="0" w:line="266" w:lineRule="auto"/>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Shopping efficiency. </w:t>
      </w:r>
      <w:r>
        <w:rPr>
          <w:rFonts w:ascii="Arial" w:cs="Arial" w:eastAsia="Arial" w:hAnsi="Arial"/>
          <w:sz w:val="17"/>
          <w:szCs w:val="17"/>
          <w:color w:val="auto"/>
        </w:rPr>
        <w:t>We facilitate access to the most relevant products for each respective end consumer, allowing for minimal research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maximum efficiency, through an omni-channel, seamless consumer platform experience. We enable consumers to comparison shop and interact with insurance carriers and distributors through multiple mediums, including directly online or offline.</w:t>
      </w:r>
    </w:p>
    <w:p>
      <w:pPr>
        <w:spacing w:after="0" w:line="27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Corporate Information</w:t>
      </w:r>
    </w:p>
    <w:p>
      <w:pPr>
        <w:spacing w:after="0" w:line="120" w:lineRule="exact"/>
        <w:rPr>
          <w:sz w:val="20"/>
          <w:szCs w:val="20"/>
          <w:color w:val="auto"/>
        </w:rPr>
      </w:pPr>
    </w:p>
    <w:p>
      <w:pPr>
        <w:ind w:left="380" w:right="120"/>
        <w:spacing w:after="0" w:line="291" w:lineRule="auto"/>
        <w:rPr>
          <w:sz w:val="20"/>
          <w:szCs w:val="20"/>
          <w:color w:val="auto"/>
        </w:rPr>
      </w:pPr>
      <w:r>
        <w:rPr>
          <w:rFonts w:ascii="Arial" w:cs="Arial" w:eastAsia="Arial" w:hAnsi="Arial"/>
          <w:sz w:val="15"/>
          <w:szCs w:val="15"/>
          <w:color w:val="auto"/>
        </w:rPr>
        <w:t>We were incorporated in Delaware on July 9, 2020 under the name MediaAlpha, Inc. to serve as a holding company for our business subsidiaries, including QL Holdings LLC and our principal operating subsidiary QuoteLab, LLC, both of which were organized in Delaware on March 7, 2014. Our principal executive offices are located at 700 South Flower Street, Suite 640, Los Angeles, CA 90017, and our telephone number at that address is</w:t>
      </w:r>
    </w:p>
    <w:p>
      <w:pPr>
        <w:spacing w:after="0" w:line="2" w:lineRule="exact"/>
        <w:rPr>
          <w:sz w:val="20"/>
          <w:szCs w:val="20"/>
          <w:color w:val="auto"/>
        </w:rPr>
      </w:pPr>
    </w:p>
    <w:p>
      <w:pPr>
        <w:jc w:val="both"/>
        <w:ind w:left="380" w:right="200" w:hanging="10"/>
        <w:spacing w:after="0" w:line="259" w:lineRule="auto"/>
        <w:tabs>
          <w:tab w:leader="none" w:pos="795" w:val="left"/>
        </w:tabs>
        <w:numPr>
          <w:ilvl w:val="0"/>
          <w:numId w:val="10"/>
        </w:numPr>
        <w:rPr>
          <w:rFonts w:ascii="Arial" w:cs="Arial" w:eastAsia="Arial" w:hAnsi="Arial"/>
          <w:sz w:val="17"/>
          <w:szCs w:val="17"/>
          <w:color w:val="auto"/>
        </w:rPr>
      </w:pPr>
      <w:r>
        <w:rPr>
          <w:rFonts w:ascii="Arial" w:cs="Arial" w:eastAsia="Arial" w:hAnsi="Arial"/>
          <w:sz w:val="17"/>
          <w:szCs w:val="17"/>
          <w:color w:val="auto"/>
        </w:rPr>
        <w:t>316-6256. Our website address is www.mediaalpha.com. Information contained on our website is not incorporated by reference into this reoffer prospectus, and you should not consider information contained on our website to be part of this reoffer prospectus or in deciding whether to purchase shares of our Class A common stock.</w:t>
      </w:r>
    </w:p>
    <w:p>
      <w:pPr>
        <w:spacing w:after="0" w:line="380"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RISK FACTORS</w:t>
      </w:r>
    </w:p>
    <w:p>
      <w:pPr>
        <w:spacing w:after="0" w:line="223" w:lineRule="exact"/>
        <w:rPr>
          <w:sz w:val="20"/>
          <w:szCs w:val="20"/>
          <w:color w:val="auto"/>
        </w:rPr>
      </w:pPr>
    </w:p>
    <w:p>
      <w:pPr>
        <w:ind w:left="380" w:right="300"/>
        <w:spacing w:after="0" w:line="259" w:lineRule="auto"/>
        <w:rPr>
          <w:sz w:val="20"/>
          <w:szCs w:val="20"/>
          <w:color w:val="auto"/>
        </w:rPr>
      </w:pPr>
      <w:r>
        <w:rPr>
          <w:rFonts w:ascii="Arial" w:cs="Arial" w:eastAsia="Arial" w:hAnsi="Arial"/>
          <w:sz w:val="17"/>
          <w:szCs w:val="17"/>
          <w:color w:val="auto"/>
        </w:rPr>
        <w:t>Investing in shares of our Class A common stock involves risks. Before making a decision to invest in shares of our Class A common stock, investors are urged to review the risk factors set forth under the caption “Risk Factors” in the final prospectus filed with the Commission pursuant to Rule 424(b) promulgated under the Securities Act on October 29, 2020, in connection with the Company’s registration statement on Form S-1 (File No. 333-249326), as amended, which is incorporated in this reoffer prospectus by reference, and the Company’s other public filings made with the Commission, including those made after the date of this reoffer prospectus.</w:t>
      </w:r>
    </w:p>
    <w:p>
      <w:pPr>
        <w:spacing w:after="0" w:line="382"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USE OF PROCEEDS</w:t>
      </w:r>
    </w:p>
    <w:p>
      <w:pPr>
        <w:spacing w:after="0" w:line="223" w:lineRule="exact"/>
        <w:rPr>
          <w:sz w:val="20"/>
          <w:szCs w:val="20"/>
          <w:color w:val="auto"/>
        </w:rPr>
      </w:pPr>
    </w:p>
    <w:p>
      <w:pPr>
        <w:ind w:left="380" w:right="460"/>
        <w:spacing w:after="0" w:line="348" w:lineRule="auto"/>
        <w:rPr>
          <w:sz w:val="20"/>
          <w:szCs w:val="20"/>
          <w:color w:val="auto"/>
        </w:rPr>
      </w:pPr>
      <w:r>
        <w:rPr>
          <w:rFonts w:ascii="Arial" w:cs="Arial" w:eastAsia="Arial" w:hAnsi="Arial"/>
          <w:sz w:val="15"/>
          <w:szCs w:val="15"/>
          <w:color w:val="auto"/>
        </w:rPr>
        <w:t>If shares of our Class A common stock are resold by the Selling Shareholders, we will not receive any proceeds from such sale. The shares will be offered for the respective accounts of the Selling Shareholders. See the sections titled “Selling Shareholders” and “Plan of Distribution” below.</w:t>
      </w:r>
    </w:p>
    <w:p>
      <w:pPr>
        <w:spacing w:after="0" w:line="318"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DETERMINATION OF OFFERING PRICE</w:t>
      </w:r>
    </w:p>
    <w:p>
      <w:pPr>
        <w:spacing w:after="0" w:line="223" w:lineRule="exact"/>
        <w:rPr>
          <w:sz w:val="20"/>
          <w:szCs w:val="20"/>
          <w:color w:val="auto"/>
        </w:rPr>
      </w:pPr>
    </w:p>
    <w:p>
      <w:pPr>
        <w:ind w:left="380"/>
        <w:spacing w:after="0" w:line="279" w:lineRule="auto"/>
        <w:rPr>
          <w:sz w:val="20"/>
          <w:szCs w:val="20"/>
          <w:color w:val="auto"/>
        </w:rPr>
      </w:pPr>
      <w:r>
        <w:rPr>
          <w:rFonts w:ascii="Arial" w:cs="Arial" w:eastAsia="Arial" w:hAnsi="Arial"/>
          <w:sz w:val="17"/>
          <w:szCs w:val="17"/>
          <w:color w:val="auto"/>
        </w:rPr>
        <w:t>The Selling Shareholders may sell the shares of our Class A common stock issued to them from time to time at prices and at terms prevailing or at prices related to the current market price, or in negotiated transactions.</w:t>
      </w:r>
    </w:p>
    <w:p>
      <w:pPr>
        <w:spacing w:after="0" w:line="99"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860"/>
          </w:cols>
          <w:pgMar w:left="320" w:top="444" w:right="71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24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5180" cy="24765"/>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SELLING SHAREHOLDERS</w:t>
      </w:r>
    </w:p>
    <w:p>
      <w:pPr>
        <w:spacing w:after="0" w:line="223" w:lineRule="exact"/>
        <w:rPr>
          <w:sz w:val="20"/>
          <w:szCs w:val="20"/>
          <w:color w:val="auto"/>
        </w:rPr>
      </w:pPr>
    </w:p>
    <w:p>
      <w:pPr>
        <w:ind w:left="380"/>
        <w:spacing w:after="0" w:line="257" w:lineRule="auto"/>
        <w:rPr>
          <w:sz w:val="20"/>
          <w:szCs w:val="20"/>
          <w:color w:val="auto"/>
        </w:rPr>
      </w:pPr>
      <w:r>
        <w:rPr>
          <w:rFonts w:ascii="Arial" w:cs="Arial" w:eastAsia="Arial" w:hAnsi="Arial"/>
          <w:sz w:val="17"/>
          <w:szCs w:val="17"/>
          <w:color w:val="auto"/>
        </w:rPr>
        <w:t>This reoffer prospectus relates to shares of our Class A common stock which may from time to time be offered and sold by the Selling Shareholders named below who have acquired such shares of common stock under the Restricted Unit Plans. The following table sets forth: (1) the name and relationship to the Company of the Selling Shareholder; (2) the percentage of shares of our Class A common stock each Selling Shareholder beneficially owned as of November 9, 2020; (3) the number of shares of our Class A common stock acquired by each Selling Shareholder pursuant to the Restricted Unit Plans and being registered under this registration statement, some or all of which shares may be sold pursuant to this reoffer prospectus; and (4) the number of shares of Class A common stock and the percentage, if 1% or more, of the total Class A common stock outstanding to be beneficially owned by each Selling Shareholder following this offering.</w:t>
      </w:r>
    </w:p>
    <w:p>
      <w:pPr>
        <w:spacing w:after="0" w:line="183" w:lineRule="exact"/>
        <w:rPr>
          <w:sz w:val="20"/>
          <w:szCs w:val="20"/>
          <w:color w:val="auto"/>
        </w:rPr>
      </w:pPr>
    </w:p>
    <w:p>
      <w:pPr>
        <w:ind w:left="380" w:right="140"/>
        <w:spacing w:after="0" w:line="261" w:lineRule="auto"/>
        <w:rPr>
          <w:sz w:val="20"/>
          <w:szCs w:val="20"/>
          <w:color w:val="auto"/>
        </w:rPr>
      </w:pPr>
      <w:r>
        <w:rPr>
          <w:rFonts w:ascii="Arial" w:cs="Arial" w:eastAsia="Arial" w:hAnsi="Arial"/>
          <w:sz w:val="17"/>
          <w:szCs w:val="17"/>
          <w:color w:val="auto"/>
        </w:rPr>
        <w:t>Because the Selling Shareholders may from time to time offer all or some of the shares pursuant to this offering, we cannot estimate the number of the shares that will be held by the Selling Shareholders after completion of the offering. For purposes of the table below, we have assumed that, after completion of the offering, none of the shares covered by this reoffer prospectus as of the date of this reoffer prospectus will be sold by the Selling Shareholders.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November 9, 2020, there were 33,169,141 shares of our Class A common stock outstanding.</w:t>
      </w:r>
    </w:p>
    <w:p>
      <w:pPr>
        <w:spacing w:after="0" w:line="217" w:lineRule="exact"/>
        <w:rPr>
          <w:sz w:val="20"/>
          <w:szCs w:val="20"/>
          <w:color w:val="auto"/>
        </w:rPr>
      </w:pPr>
    </w:p>
    <w:p>
      <w:pPr>
        <w:ind w:left="380" w:right="440"/>
        <w:spacing w:after="0" w:line="279" w:lineRule="auto"/>
        <w:rPr>
          <w:sz w:val="20"/>
          <w:szCs w:val="20"/>
          <w:color w:val="auto"/>
        </w:rPr>
      </w:pPr>
      <w:r>
        <w:rPr>
          <w:rFonts w:ascii="Arial" w:cs="Arial" w:eastAsia="Arial" w:hAnsi="Arial"/>
          <w:sz w:val="17"/>
          <w:szCs w:val="17"/>
          <w:color w:val="auto"/>
        </w:rPr>
        <w:t>The inclusion in this table of the individuals named therein shall not be deemed to be an admission that any such individuals are “affiliates” of the Company.</w:t>
      </w:r>
    </w:p>
    <w:p>
      <w:pPr>
        <w:spacing w:after="0" w:line="160"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jc w:val="center"/>
              <w:ind w:left="11"/>
              <w:spacing w:after="0"/>
              <w:rPr>
                <w:sz w:val="20"/>
                <w:szCs w:val="20"/>
                <w:color w:val="auto"/>
              </w:rPr>
            </w:pPr>
            <w:r>
              <w:rPr>
                <w:rFonts w:ascii="Arial" w:cs="Arial" w:eastAsia="Arial" w:hAnsi="Arial"/>
                <w:sz w:val="14"/>
                <w:szCs w:val="14"/>
                <w:b w:val="1"/>
                <w:bCs w:val="1"/>
                <w:color w:val="auto"/>
                <w:w w:val="87"/>
              </w:rPr>
              <w:t>Percent of</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Shares of</w:t>
            </w: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jc w:val="center"/>
              <w:ind w:left="31"/>
              <w:spacing w:after="0" w:line="142" w:lineRule="exact"/>
              <w:rPr>
                <w:sz w:val="20"/>
                <w:szCs w:val="20"/>
                <w:color w:val="auto"/>
              </w:rPr>
            </w:pPr>
            <w:r>
              <w:rPr>
                <w:rFonts w:ascii="Arial" w:cs="Arial" w:eastAsia="Arial" w:hAnsi="Arial"/>
                <w:sz w:val="14"/>
                <w:szCs w:val="14"/>
                <w:b w:val="1"/>
                <w:bCs w:val="1"/>
                <w:color w:val="auto"/>
                <w:w w:val="84"/>
              </w:rPr>
              <w:t>Shares of</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85"/>
              </w:rPr>
              <w:t>Class A</w:t>
            </w:r>
          </w:p>
        </w:tc>
        <w:tc>
          <w:tcPr>
            <w:tcW w:w="2240" w:type="dxa"/>
            <w:vAlign w:val="bottom"/>
            <w:gridSpan w:val="5"/>
            <w:vMerge w:val="restart"/>
          </w:tcPr>
          <w:p>
            <w:pPr>
              <w:jc w:val="center"/>
              <w:ind w:right="60"/>
              <w:spacing w:after="0"/>
              <w:rPr>
                <w:sz w:val="20"/>
                <w:szCs w:val="20"/>
                <w:color w:val="auto"/>
              </w:rPr>
            </w:pPr>
            <w:r>
              <w:rPr>
                <w:rFonts w:ascii="Arial" w:cs="Arial" w:eastAsia="Arial" w:hAnsi="Arial"/>
                <w:sz w:val="14"/>
                <w:szCs w:val="14"/>
                <w:b w:val="1"/>
                <w:bCs w:val="1"/>
                <w:color w:val="auto"/>
                <w:w w:val="85"/>
              </w:rPr>
              <w:t>Shares of Class A</w:t>
            </w:r>
          </w:p>
        </w:tc>
        <w:tc>
          <w:tcPr>
            <w:tcW w:w="0" w:type="dxa"/>
            <w:vAlign w:val="bottom"/>
          </w:tcPr>
          <w:p>
            <w:pPr>
              <w:spacing w:after="0"/>
              <w:rPr>
                <w:sz w:val="1"/>
                <w:szCs w:val="1"/>
                <w:color w:val="auto"/>
              </w:rPr>
            </w:pPr>
          </w:p>
        </w:tc>
      </w:tr>
      <w:tr>
        <w:trPr>
          <w:trHeight w:val="64"/>
        </w:trPr>
        <w:tc>
          <w:tcPr>
            <w:tcW w:w="3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vMerge w:val="restart"/>
          </w:tcPr>
          <w:p>
            <w:pPr>
              <w:jc w:val="center"/>
              <w:ind w:left="11"/>
              <w:spacing w:after="0" w:line="142" w:lineRule="exact"/>
              <w:rPr>
                <w:sz w:val="20"/>
                <w:szCs w:val="20"/>
                <w:color w:val="auto"/>
              </w:rPr>
            </w:pPr>
            <w:r>
              <w:rPr>
                <w:rFonts w:ascii="Arial" w:cs="Arial" w:eastAsia="Arial" w:hAnsi="Arial"/>
                <w:sz w:val="14"/>
                <w:szCs w:val="14"/>
                <w:b w:val="1"/>
                <w:bCs w:val="1"/>
                <w:color w:val="auto"/>
                <w:w w:val="85"/>
              </w:rPr>
              <w:t>Class A</w:t>
            </w: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gridSpan w:val="2"/>
            <w:vMerge w:val="restart"/>
          </w:tcPr>
          <w:p>
            <w:pPr>
              <w:jc w:val="center"/>
              <w:ind w:right="360"/>
              <w:spacing w:after="0" w:line="142" w:lineRule="exact"/>
              <w:rPr>
                <w:sz w:val="20"/>
                <w:szCs w:val="20"/>
                <w:color w:val="auto"/>
              </w:rPr>
            </w:pPr>
            <w:r>
              <w:rPr>
                <w:rFonts w:ascii="Arial" w:cs="Arial" w:eastAsia="Arial" w:hAnsi="Arial"/>
                <w:sz w:val="14"/>
                <w:szCs w:val="14"/>
                <w:b w:val="1"/>
                <w:bCs w:val="1"/>
                <w:color w:val="auto"/>
                <w:w w:val="88"/>
              </w:rPr>
              <w:t>Common</w:t>
            </w:r>
          </w:p>
        </w:tc>
        <w:tc>
          <w:tcPr>
            <w:tcW w:w="22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3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2240" w:type="dxa"/>
            <w:vAlign w:val="bottom"/>
            <w:gridSpan w:val="5"/>
            <w:vMerge w:val="restart"/>
          </w:tcPr>
          <w:p>
            <w:pPr>
              <w:jc w:val="center"/>
              <w:ind w:right="60"/>
              <w:spacing w:after="0" w:line="142" w:lineRule="exact"/>
              <w:rPr>
                <w:sz w:val="20"/>
                <w:szCs w:val="20"/>
                <w:color w:val="auto"/>
              </w:rPr>
            </w:pPr>
            <w:r>
              <w:rPr>
                <w:rFonts w:ascii="Arial" w:cs="Arial" w:eastAsia="Arial" w:hAnsi="Arial"/>
                <w:sz w:val="14"/>
                <w:szCs w:val="14"/>
                <w:b w:val="1"/>
                <w:bCs w:val="1"/>
                <w:color w:val="auto"/>
                <w:w w:val="87"/>
              </w:rPr>
              <w:t>Common Stock</w:t>
            </w:r>
          </w:p>
        </w:tc>
        <w:tc>
          <w:tcPr>
            <w:tcW w:w="0" w:type="dxa"/>
            <w:vAlign w:val="bottom"/>
          </w:tcPr>
          <w:p>
            <w:pPr>
              <w:spacing w:after="0"/>
              <w:rPr>
                <w:sz w:val="1"/>
                <w:szCs w:val="1"/>
                <w:color w:val="auto"/>
              </w:rPr>
            </w:pPr>
          </w:p>
        </w:tc>
      </w:tr>
      <w:tr>
        <w:trPr>
          <w:trHeight w:val="64"/>
        </w:trPr>
        <w:tc>
          <w:tcPr>
            <w:tcW w:w="3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vMerge w:val="restart"/>
          </w:tcPr>
          <w:p>
            <w:pPr>
              <w:jc w:val="center"/>
              <w:ind w:left="31"/>
              <w:spacing w:after="0" w:line="142" w:lineRule="exact"/>
              <w:rPr>
                <w:sz w:val="20"/>
                <w:szCs w:val="20"/>
                <w:color w:val="auto"/>
              </w:rPr>
            </w:pPr>
            <w:r>
              <w:rPr>
                <w:rFonts w:ascii="Arial" w:cs="Arial" w:eastAsia="Arial" w:hAnsi="Arial"/>
                <w:sz w:val="14"/>
                <w:szCs w:val="14"/>
                <w:b w:val="1"/>
                <w:bCs w:val="1"/>
                <w:color w:val="auto"/>
                <w:w w:val="88"/>
              </w:rPr>
              <w:t>Common</w:t>
            </w: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gridSpan w:val="2"/>
            <w:vMerge w:val="restart"/>
          </w:tcPr>
          <w:p>
            <w:pPr>
              <w:jc w:val="center"/>
              <w:ind w:right="360"/>
              <w:spacing w:after="0" w:line="142" w:lineRule="exact"/>
              <w:rPr>
                <w:sz w:val="20"/>
                <w:szCs w:val="20"/>
                <w:color w:val="auto"/>
              </w:rPr>
            </w:pPr>
            <w:r>
              <w:rPr>
                <w:rFonts w:ascii="Arial" w:cs="Arial" w:eastAsia="Arial" w:hAnsi="Arial"/>
                <w:sz w:val="14"/>
                <w:szCs w:val="14"/>
                <w:b w:val="1"/>
                <w:bCs w:val="1"/>
                <w:color w:val="auto"/>
                <w:w w:val="89"/>
              </w:rPr>
              <w:t>Stock</w:t>
            </w:r>
          </w:p>
        </w:tc>
        <w:tc>
          <w:tcPr>
            <w:tcW w:w="22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3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2240" w:type="dxa"/>
            <w:vAlign w:val="bottom"/>
            <w:gridSpan w:val="5"/>
            <w:vMerge w:val="restart"/>
          </w:tcPr>
          <w:p>
            <w:pPr>
              <w:jc w:val="center"/>
              <w:ind w:right="80"/>
              <w:spacing w:after="0" w:line="142" w:lineRule="exact"/>
              <w:rPr>
                <w:sz w:val="20"/>
                <w:szCs w:val="20"/>
                <w:color w:val="auto"/>
              </w:rPr>
            </w:pPr>
            <w:r>
              <w:rPr>
                <w:rFonts w:ascii="Arial" w:cs="Arial" w:eastAsia="Arial" w:hAnsi="Arial"/>
                <w:sz w:val="14"/>
                <w:szCs w:val="14"/>
                <w:b w:val="1"/>
                <w:bCs w:val="1"/>
                <w:color w:val="auto"/>
                <w:w w:val="89"/>
              </w:rPr>
              <w:t>Beneficially Owned After</w:t>
            </w:r>
          </w:p>
        </w:tc>
        <w:tc>
          <w:tcPr>
            <w:tcW w:w="0" w:type="dxa"/>
            <w:vAlign w:val="bottom"/>
          </w:tcPr>
          <w:p>
            <w:pPr>
              <w:spacing w:after="0"/>
              <w:rPr>
                <w:sz w:val="1"/>
                <w:szCs w:val="1"/>
                <w:color w:val="auto"/>
              </w:rPr>
            </w:pPr>
          </w:p>
        </w:tc>
      </w:tr>
      <w:tr>
        <w:trPr>
          <w:trHeight w:val="64"/>
        </w:trPr>
        <w:tc>
          <w:tcPr>
            <w:tcW w:w="3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vMerge w:val="restart"/>
          </w:tcPr>
          <w:p>
            <w:pPr>
              <w:jc w:val="center"/>
              <w:ind w:left="11"/>
              <w:spacing w:after="0" w:line="142" w:lineRule="exact"/>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gridSpan w:val="2"/>
            <w:vMerge w:val="restart"/>
          </w:tcPr>
          <w:p>
            <w:pPr>
              <w:jc w:val="center"/>
              <w:ind w:right="360"/>
              <w:spacing w:after="0" w:line="142" w:lineRule="exact"/>
              <w:rPr>
                <w:sz w:val="20"/>
                <w:szCs w:val="20"/>
                <w:color w:val="auto"/>
              </w:rPr>
            </w:pPr>
            <w:r>
              <w:rPr>
                <w:rFonts w:ascii="Arial" w:cs="Arial" w:eastAsia="Arial" w:hAnsi="Arial"/>
                <w:sz w:val="14"/>
                <w:szCs w:val="14"/>
                <w:b w:val="1"/>
                <w:bCs w:val="1"/>
                <w:color w:val="auto"/>
                <w:w w:val="86"/>
              </w:rPr>
              <w:t>Covered by</w:t>
            </w:r>
          </w:p>
        </w:tc>
        <w:tc>
          <w:tcPr>
            <w:tcW w:w="22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3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500" w:type="dxa"/>
            <w:vAlign w:val="bottom"/>
            <w:gridSpan w:val="3"/>
            <w:vMerge w:val="restart"/>
          </w:tcPr>
          <w:p>
            <w:pPr>
              <w:jc w:val="center"/>
              <w:ind w:left="578"/>
              <w:spacing w:after="0"/>
              <w:rPr>
                <w:sz w:val="20"/>
                <w:szCs w:val="20"/>
                <w:color w:val="auto"/>
              </w:rPr>
            </w:pPr>
            <w:r>
              <w:rPr>
                <w:rFonts w:ascii="Arial" w:cs="Arial" w:eastAsia="Arial" w:hAnsi="Arial"/>
                <w:sz w:val="14"/>
                <w:szCs w:val="14"/>
                <w:b w:val="1"/>
                <w:bCs w:val="1"/>
                <w:color w:val="auto"/>
                <w:w w:val="91"/>
              </w:rPr>
              <w:t>This Offering</w:t>
            </w: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3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restart"/>
          </w:tcPr>
          <w:p>
            <w:pPr>
              <w:jc w:val="center"/>
              <w:ind w:left="11"/>
              <w:spacing w:after="0" w:line="142" w:lineRule="exact"/>
              <w:rPr>
                <w:sz w:val="20"/>
                <w:szCs w:val="20"/>
                <w:color w:val="auto"/>
              </w:rPr>
            </w:pPr>
            <w:r>
              <w:rPr>
                <w:rFonts w:ascii="Arial" w:cs="Arial" w:eastAsia="Arial" w:hAnsi="Arial"/>
                <w:sz w:val="14"/>
                <w:szCs w:val="14"/>
                <w:b w:val="1"/>
                <w:bCs w:val="1"/>
                <w:color w:val="auto"/>
                <w:w w:val="87"/>
              </w:rPr>
              <w:t>Beneficially</w:t>
            </w: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60" w:type="dxa"/>
            <w:vAlign w:val="bottom"/>
            <w:gridSpan w:val="2"/>
            <w:vMerge w:val="restart"/>
          </w:tcPr>
          <w:p>
            <w:pPr>
              <w:jc w:val="center"/>
              <w:ind w:right="360"/>
              <w:spacing w:after="0" w:line="142" w:lineRule="exact"/>
              <w:rPr>
                <w:sz w:val="20"/>
                <w:szCs w:val="20"/>
                <w:color w:val="auto"/>
              </w:rPr>
            </w:pPr>
            <w:r>
              <w:rPr>
                <w:rFonts w:ascii="Arial" w:cs="Arial" w:eastAsia="Arial" w:hAnsi="Arial"/>
                <w:sz w:val="14"/>
                <w:szCs w:val="14"/>
                <w:b w:val="1"/>
                <w:bCs w:val="1"/>
                <w:color w:val="auto"/>
                <w:w w:val="90"/>
              </w:rPr>
              <w:t>This Reoffer</w:t>
            </w:r>
          </w:p>
        </w:tc>
        <w:tc>
          <w:tcPr>
            <w:tcW w:w="1500" w:type="dxa"/>
            <w:vAlign w:val="bottom"/>
            <w:tcBorders>
              <w:bottom w:val="single" w:sz="8" w:color="auto"/>
            </w:tcBorders>
            <w:gridSpan w:val="3"/>
            <w:vMerge w:val="continue"/>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3600" w:type="dxa"/>
            <w:vAlign w:val="bottom"/>
            <w:vMerge w:val="restart"/>
          </w:tcPr>
          <w:p>
            <w:pPr>
              <w:spacing w:after="0"/>
              <w:rPr>
                <w:sz w:val="20"/>
                <w:szCs w:val="20"/>
                <w:color w:val="auto"/>
              </w:rPr>
            </w:pPr>
            <w:r>
              <w:rPr>
                <w:rFonts w:ascii="Arial" w:cs="Arial" w:eastAsia="Arial" w:hAnsi="Arial"/>
                <w:sz w:val="14"/>
                <w:szCs w:val="14"/>
                <w:b w:val="1"/>
                <w:bCs w:val="1"/>
                <w:color w:val="auto"/>
                <w:w w:val="88"/>
              </w:rPr>
              <w:t>Selling Stockholder and Principal Position with the Company</w:t>
            </w:r>
          </w:p>
        </w:tc>
        <w:tc>
          <w:tcPr>
            <w:tcW w:w="600" w:type="dxa"/>
            <w:vAlign w:val="bottom"/>
            <w:vMerge w:val="restart"/>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50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Number</w:t>
            </w: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line="20" w:lineRule="exact"/>
              <w:rPr>
                <w:sz w:val="1"/>
                <w:szCs w:val="1"/>
                <w:color w:val="auto"/>
              </w:rPr>
            </w:pPr>
          </w:p>
        </w:tc>
      </w:tr>
      <w:tr>
        <w:trPr>
          <w:trHeight w:val="171"/>
        </w:trPr>
        <w:tc>
          <w:tcPr>
            <w:tcW w:w="3600" w:type="dxa"/>
            <w:vAlign w:val="bottom"/>
            <w:tcBorders>
              <w:bottom w:val="single" w:sz="8" w:color="auto"/>
            </w:tcBorders>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jc w:val="center"/>
              <w:ind w:left="31"/>
              <w:spacing w:after="0" w:line="151" w:lineRule="exact"/>
              <w:rPr>
                <w:sz w:val="20"/>
                <w:szCs w:val="20"/>
                <w:color w:val="auto"/>
              </w:rPr>
            </w:pPr>
            <w:r>
              <w:rPr>
                <w:rFonts w:ascii="Arial" w:cs="Arial" w:eastAsia="Arial" w:hAnsi="Arial"/>
                <w:sz w:val="14"/>
                <w:szCs w:val="14"/>
                <w:b w:val="1"/>
                <w:bCs w:val="1"/>
                <w:color w:val="auto"/>
                <w:w w:val="91"/>
              </w:rPr>
              <w:t>Owned (1)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tcPr>
          <w:p>
            <w:pPr>
              <w:jc w:val="center"/>
              <w:ind w:right="360"/>
              <w:spacing w:after="0" w:line="151" w:lineRule="exact"/>
              <w:rPr>
                <w:sz w:val="20"/>
                <w:szCs w:val="20"/>
                <w:color w:val="auto"/>
              </w:rPr>
            </w:pPr>
            <w:r>
              <w:rPr>
                <w:rFonts w:ascii="Arial" w:cs="Arial" w:eastAsia="Arial" w:hAnsi="Arial"/>
                <w:sz w:val="14"/>
                <w:szCs w:val="14"/>
                <w:b w:val="1"/>
                <w:bCs w:val="1"/>
                <w:color w:val="auto"/>
                <w:w w:val="84"/>
              </w:rPr>
              <w:t>Prospectus (2)</w:t>
            </w:r>
          </w:p>
        </w:tc>
        <w:tc>
          <w:tcPr>
            <w:tcW w:w="1500" w:type="dxa"/>
            <w:vAlign w:val="bottom"/>
            <w:gridSpan w:val="3"/>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00" w:type="dxa"/>
            <w:vAlign w:val="bottom"/>
            <w:tcBorders>
              <w:top w:val="single" w:sz="8" w:color="CCEEFF"/>
            </w:tcBorders>
            <w:gridSpan w:val="2"/>
            <w:shd w:val="clear" w:color="auto" w:fill="CCEEFF"/>
          </w:tcPr>
          <w:p>
            <w:pPr>
              <w:spacing w:after="0" w:line="167" w:lineRule="exact"/>
              <w:rPr>
                <w:sz w:val="20"/>
                <w:szCs w:val="20"/>
                <w:color w:val="auto"/>
              </w:rPr>
            </w:pPr>
            <w:r>
              <w:rPr>
                <w:rFonts w:ascii="Arial" w:cs="Arial" w:eastAsia="Arial" w:hAnsi="Arial"/>
                <w:sz w:val="17"/>
                <w:szCs w:val="17"/>
                <w:color w:val="auto"/>
              </w:rPr>
              <w:t>Adrian Nam</w:t>
            </w:r>
          </w:p>
        </w:tc>
        <w:tc>
          <w:tcPr>
            <w:tcW w:w="7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Director, Media Operations</w:t>
            </w:r>
          </w:p>
        </w:tc>
        <w:tc>
          <w:tcPr>
            <w:tcW w:w="7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49,407</w:t>
            </w: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49,407</w:t>
            </w: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200" w:type="dxa"/>
            <w:vAlign w:val="bottom"/>
            <w:gridSpan w:val="2"/>
          </w:tcPr>
          <w:p>
            <w:pPr>
              <w:spacing w:after="0" w:line="194" w:lineRule="exact"/>
              <w:rPr>
                <w:sz w:val="20"/>
                <w:szCs w:val="20"/>
                <w:color w:val="auto"/>
              </w:rPr>
            </w:pPr>
            <w:r>
              <w:rPr>
                <w:rFonts w:ascii="Arial" w:cs="Arial" w:eastAsia="Arial" w:hAnsi="Arial"/>
                <w:sz w:val="17"/>
                <w:szCs w:val="17"/>
                <w:color w:val="auto"/>
              </w:rPr>
              <w:t>Andy Soltani</w:t>
            </w: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7"/>
                <w:szCs w:val="17"/>
                <w:color w:val="auto"/>
              </w:rPr>
              <w:t>Senior Director, Business Analytics</w:t>
            </w: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118,027</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118,027</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Anna Goranson</w:t>
            </w:r>
          </w:p>
        </w:tc>
        <w:tc>
          <w:tcPr>
            <w:tcW w:w="7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Director, People Operations</w:t>
            </w:r>
          </w:p>
        </w:tc>
        <w:tc>
          <w:tcPr>
            <w:tcW w:w="7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65,722</w:t>
            </w: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65,722</w:t>
            </w: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200" w:type="dxa"/>
            <w:vAlign w:val="bottom"/>
            <w:gridSpan w:val="2"/>
          </w:tcPr>
          <w:p>
            <w:pPr>
              <w:spacing w:after="0" w:line="194" w:lineRule="exact"/>
              <w:rPr>
                <w:sz w:val="20"/>
                <w:szCs w:val="20"/>
                <w:color w:val="auto"/>
              </w:rPr>
            </w:pPr>
            <w:r>
              <w:rPr>
                <w:rFonts w:ascii="Arial" w:cs="Arial" w:eastAsia="Arial" w:hAnsi="Arial"/>
                <w:sz w:val="17"/>
                <w:szCs w:val="17"/>
                <w:color w:val="auto"/>
              </w:rPr>
              <w:t>Anthony Eccher</w:t>
            </w: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7"/>
                <w:szCs w:val="17"/>
                <w:color w:val="auto"/>
              </w:rPr>
              <w:t>Director, Supply Partnerships</w:t>
            </w: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64,706</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64,706</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Ben Safran</w:t>
            </w:r>
          </w:p>
        </w:tc>
        <w:tc>
          <w:tcPr>
            <w:tcW w:w="7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Senior Director, Accounting and Financial Reporting</w:t>
            </w:r>
          </w:p>
        </w:tc>
        <w:tc>
          <w:tcPr>
            <w:tcW w:w="7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70,800</w:t>
            </w: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70,800</w:t>
            </w: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200" w:type="dxa"/>
            <w:vAlign w:val="bottom"/>
            <w:gridSpan w:val="2"/>
          </w:tcPr>
          <w:p>
            <w:pPr>
              <w:spacing w:after="0" w:line="194" w:lineRule="exact"/>
              <w:rPr>
                <w:sz w:val="20"/>
                <w:szCs w:val="20"/>
                <w:color w:val="auto"/>
              </w:rPr>
            </w:pPr>
            <w:r>
              <w:rPr>
                <w:rFonts w:ascii="Arial" w:cs="Arial" w:eastAsia="Arial" w:hAnsi="Arial"/>
                <w:sz w:val="17"/>
                <w:szCs w:val="17"/>
                <w:color w:val="auto"/>
              </w:rPr>
              <w:t>Christina Mahoney</w:t>
            </w: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7"/>
                <w:szCs w:val="17"/>
                <w:color w:val="auto"/>
              </w:rPr>
              <w:t>Director, Supply Partnerships</w:t>
            </w: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49,291</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49,291</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Cindy Madden</w:t>
            </w:r>
          </w:p>
        </w:tc>
        <w:tc>
          <w:tcPr>
            <w:tcW w:w="7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Director, Demand Partnerships</w:t>
            </w:r>
          </w:p>
        </w:tc>
        <w:tc>
          <w:tcPr>
            <w:tcW w:w="7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48,317</w:t>
            </w: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48,317</w:t>
            </w: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200" w:type="dxa"/>
            <w:vAlign w:val="bottom"/>
            <w:gridSpan w:val="2"/>
          </w:tcPr>
          <w:p>
            <w:pPr>
              <w:spacing w:after="0" w:line="194" w:lineRule="exact"/>
              <w:rPr>
                <w:sz w:val="20"/>
                <w:szCs w:val="20"/>
                <w:color w:val="auto"/>
              </w:rPr>
            </w:pPr>
            <w:r>
              <w:rPr>
                <w:rFonts w:ascii="Arial" w:cs="Arial" w:eastAsia="Arial" w:hAnsi="Arial"/>
                <w:sz w:val="17"/>
                <w:szCs w:val="17"/>
                <w:color w:val="auto"/>
              </w:rPr>
              <w:t>Colin Quigley</w:t>
            </w: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7"/>
                <w:szCs w:val="17"/>
                <w:color w:val="auto"/>
              </w:rPr>
              <w:t>Director, Demand Partnerships</w:t>
            </w: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49,291</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49,291</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Cort Carlson</w:t>
            </w:r>
          </w:p>
        </w:tc>
        <w:tc>
          <w:tcPr>
            <w:tcW w:w="7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Vice President, Corporate Controller</w:t>
            </w:r>
          </w:p>
        </w:tc>
        <w:tc>
          <w:tcPr>
            <w:tcW w:w="7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38,776</w:t>
            </w: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38,776</w:t>
            </w: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200" w:type="dxa"/>
            <w:vAlign w:val="bottom"/>
            <w:gridSpan w:val="2"/>
          </w:tcPr>
          <w:p>
            <w:pPr>
              <w:spacing w:after="0" w:line="194" w:lineRule="exact"/>
              <w:rPr>
                <w:sz w:val="20"/>
                <w:szCs w:val="20"/>
                <w:color w:val="auto"/>
              </w:rPr>
            </w:pPr>
            <w:r>
              <w:rPr>
                <w:rFonts w:ascii="Arial" w:cs="Arial" w:eastAsia="Arial" w:hAnsi="Arial"/>
                <w:sz w:val="17"/>
                <w:szCs w:val="17"/>
                <w:color w:val="auto"/>
              </w:rPr>
              <w:t>Erick Louie</w:t>
            </w: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7"/>
                <w:szCs w:val="17"/>
                <w:color w:val="auto"/>
              </w:rPr>
              <w:t>Engineer</w:t>
            </w: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28,247</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28,247</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Erika Richardson</w:t>
            </w:r>
          </w:p>
        </w:tc>
        <w:tc>
          <w:tcPr>
            <w:tcW w:w="7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Director, Demand Partnerships</w:t>
            </w:r>
          </w:p>
        </w:tc>
        <w:tc>
          <w:tcPr>
            <w:tcW w:w="7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51,548</w:t>
            </w: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51,548</w:t>
            </w: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200" w:type="dxa"/>
            <w:vAlign w:val="bottom"/>
            <w:gridSpan w:val="2"/>
          </w:tcPr>
          <w:p>
            <w:pPr>
              <w:spacing w:after="0" w:line="194" w:lineRule="exact"/>
              <w:rPr>
                <w:sz w:val="20"/>
                <w:szCs w:val="20"/>
                <w:color w:val="auto"/>
              </w:rPr>
            </w:pPr>
            <w:r>
              <w:rPr>
                <w:rFonts w:ascii="Arial" w:cs="Arial" w:eastAsia="Arial" w:hAnsi="Arial"/>
                <w:sz w:val="17"/>
                <w:szCs w:val="17"/>
                <w:color w:val="auto"/>
              </w:rPr>
              <w:t>Gregory Picard</w:t>
            </w: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7"/>
                <w:szCs w:val="17"/>
                <w:color w:val="auto"/>
              </w:rPr>
              <w:t>Director, Supply Partnerships</w:t>
            </w: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65,426</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65,426</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Harvey Taylor</w:t>
            </w:r>
          </w:p>
        </w:tc>
        <w:tc>
          <w:tcPr>
            <w:tcW w:w="7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Senior Account Manager, Demand Partnerships</w:t>
            </w:r>
          </w:p>
        </w:tc>
        <w:tc>
          <w:tcPr>
            <w:tcW w:w="7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25,986</w:t>
            </w: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25,986</w:t>
            </w: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4200" w:type="dxa"/>
            <w:vAlign w:val="bottom"/>
            <w:gridSpan w:val="2"/>
          </w:tcPr>
          <w:p>
            <w:pPr>
              <w:spacing w:after="0"/>
              <w:rPr>
                <w:sz w:val="20"/>
                <w:szCs w:val="20"/>
                <w:color w:val="auto"/>
              </w:rPr>
            </w:pPr>
            <w:r>
              <w:rPr>
                <w:rFonts w:ascii="Arial" w:cs="Arial" w:eastAsia="Arial" w:hAnsi="Arial"/>
                <w:sz w:val="17"/>
                <w:szCs w:val="17"/>
                <w:color w:val="auto"/>
              </w:rPr>
              <w:t>James Kosta</w:t>
            </w: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65,906</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65,906</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2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John Tomlinson</w:t>
            </w:r>
          </w:p>
        </w:tc>
        <w:tc>
          <w:tcPr>
            <w:tcW w:w="7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Director, Supply Partnerships</w:t>
            </w:r>
          </w:p>
        </w:tc>
        <w:tc>
          <w:tcPr>
            <w:tcW w:w="7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48,317</w:t>
            </w: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48,317</w:t>
            </w: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200" w:type="dxa"/>
            <w:vAlign w:val="bottom"/>
            <w:gridSpan w:val="2"/>
          </w:tcPr>
          <w:p>
            <w:pPr>
              <w:spacing w:after="0" w:line="194" w:lineRule="exact"/>
              <w:rPr>
                <w:sz w:val="20"/>
                <w:szCs w:val="20"/>
                <w:color w:val="auto"/>
              </w:rPr>
            </w:pPr>
            <w:r>
              <w:rPr>
                <w:rFonts w:ascii="Arial" w:cs="Arial" w:eastAsia="Arial" w:hAnsi="Arial"/>
                <w:sz w:val="17"/>
                <w:szCs w:val="17"/>
                <w:color w:val="auto"/>
              </w:rPr>
              <w:t>Jonathan Doroski</w:t>
            </w: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7"/>
                <w:szCs w:val="17"/>
                <w:color w:val="auto"/>
              </w:rPr>
              <w:t>Director, Demand Partnerships</w:t>
            </w: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49,291</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49,291</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Justin Fleming</w:t>
            </w:r>
          </w:p>
        </w:tc>
        <w:tc>
          <w:tcPr>
            <w:tcW w:w="7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Senior Financial Analyst</w:t>
            </w:r>
          </w:p>
        </w:tc>
        <w:tc>
          <w:tcPr>
            <w:tcW w:w="7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30,216</w:t>
            </w: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30,216</w:t>
            </w: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3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00" w:type="dxa"/>
            <w:vAlign w:val="bottom"/>
            <w:gridSpan w:val="2"/>
          </w:tcPr>
          <w:p>
            <w:pPr>
              <w:jc w:val="right"/>
              <w:ind w:right="731"/>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320" w:top="444" w:right="73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24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5180" cy="247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4800" w:type="dxa"/>
            <w:vAlign w:val="bottom"/>
            <w:gridSpan w:val="2"/>
          </w:tcPr>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tc>
        <w:tc>
          <w:tcPr>
            <w:tcW w:w="18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800" w:type="dxa"/>
            <w:vAlign w:val="bottom"/>
            <w:vMerge w:val="restart"/>
          </w:tcPr>
          <w:p>
            <w:pPr>
              <w:spacing w:after="0"/>
              <w:rPr>
                <w:sz w:val="24"/>
                <w:szCs w:val="24"/>
                <w:color w:val="auto"/>
              </w:rPr>
            </w:pPr>
          </w:p>
        </w:tc>
        <w:tc>
          <w:tcPr>
            <w:tcW w:w="40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00" w:type="dxa"/>
            <w:vAlign w:val="bottom"/>
            <w:vMerge w:val="continue"/>
          </w:tcPr>
          <w:p>
            <w:pPr>
              <w:spacing w:after="0"/>
              <w:rPr>
                <w:sz w:val="16"/>
                <w:szCs w:val="16"/>
                <w:color w:val="auto"/>
              </w:rPr>
            </w:pPr>
          </w:p>
        </w:tc>
        <w:tc>
          <w:tcPr>
            <w:tcW w:w="40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Louise Rasho</w:t>
            </w:r>
          </w:p>
        </w:tc>
        <w:tc>
          <w:tcPr>
            <w:tcW w:w="18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0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Director, Marketing</w:t>
            </w:r>
          </w:p>
        </w:tc>
        <w:tc>
          <w:tcPr>
            <w:tcW w:w="188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51,787</w:t>
            </w:r>
          </w:p>
        </w:tc>
        <w:tc>
          <w:tcPr>
            <w:tcW w:w="1600" w:type="dxa"/>
            <w:vAlign w:val="bottom"/>
            <w:shd w:val="clear" w:color="auto" w:fill="CCEEFF"/>
          </w:tcPr>
          <w:p>
            <w:pPr>
              <w:jc w:val="right"/>
              <w:ind w:right="554"/>
              <w:spacing w:after="0"/>
              <w:rPr>
                <w:sz w:val="20"/>
                <w:szCs w:val="20"/>
                <w:color w:val="auto"/>
              </w:rPr>
            </w:pPr>
            <w:r>
              <w:rPr>
                <w:rFonts w:ascii="Arial" w:cs="Arial" w:eastAsia="Arial" w:hAnsi="Arial"/>
                <w:sz w:val="17"/>
                <w:szCs w:val="17"/>
                <w:color w:val="auto"/>
              </w:rPr>
              <w:t>51,787</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4000" w:type="dxa"/>
            <w:vAlign w:val="bottom"/>
          </w:tcPr>
          <w:p>
            <w:pPr>
              <w:spacing w:after="0" w:line="194" w:lineRule="exact"/>
              <w:rPr>
                <w:sz w:val="20"/>
                <w:szCs w:val="20"/>
                <w:color w:val="auto"/>
              </w:rPr>
            </w:pPr>
            <w:r>
              <w:rPr>
                <w:rFonts w:ascii="Arial" w:cs="Arial" w:eastAsia="Arial" w:hAnsi="Arial"/>
                <w:sz w:val="17"/>
                <w:szCs w:val="17"/>
                <w:color w:val="auto"/>
              </w:rPr>
              <w:t>Melissa Rosno</w:t>
            </w:r>
          </w:p>
        </w:tc>
        <w:tc>
          <w:tcPr>
            <w:tcW w:w="18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ind w:left="800"/>
              <w:spacing w:after="0"/>
              <w:rPr>
                <w:sz w:val="20"/>
                <w:szCs w:val="20"/>
                <w:color w:val="auto"/>
              </w:rPr>
            </w:pPr>
            <w:r>
              <w:rPr>
                <w:rFonts w:ascii="Arial" w:cs="Arial" w:eastAsia="Arial" w:hAnsi="Arial"/>
                <w:sz w:val="17"/>
                <w:szCs w:val="17"/>
                <w:color w:val="auto"/>
              </w:rPr>
              <w:t>Senior Director, Demand Partnerships</w:t>
            </w:r>
          </w:p>
        </w:tc>
        <w:tc>
          <w:tcPr>
            <w:tcW w:w="188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334"/>
              <w:spacing w:after="0"/>
              <w:rPr>
                <w:sz w:val="20"/>
                <w:szCs w:val="20"/>
                <w:color w:val="auto"/>
              </w:rPr>
            </w:pPr>
            <w:r>
              <w:rPr>
                <w:rFonts w:ascii="Arial" w:cs="Arial" w:eastAsia="Arial" w:hAnsi="Arial"/>
                <w:sz w:val="17"/>
                <w:szCs w:val="17"/>
                <w:color w:val="auto"/>
              </w:rPr>
              <w:t>120,014</w:t>
            </w:r>
          </w:p>
        </w:tc>
        <w:tc>
          <w:tcPr>
            <w:tcW w:w="1600" w:type="dxa"/>
            <w:vAlign w:val="bottom"/>
          </w:tcPr>
          <w:p>
            <w:pPr>
              <w:jc w:val="right"/>
              <w:ind w:right="554"/>
              <w:spacing w:after="0"/>
              <w:rPr>
                <w:sz w:val="20"/>
                <w:szCs w:val="20"/>
                <w:color w:val="auto"/>
              </w:rPr>
            </w:pPr>
            <w:r>
              <w:rPr>
                <w:rFonts w:ascii="Arial" w:cs="Arial" w:eastAsia="Arial" w:hAnsi="Arial"/>
                <w:sz w:val="17"/>
                <w:szCs w:val="17"/>
                <w:color w:val="auto"/>
              </w:rPr>
              <w:t>120,014</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800" w:type="dxa"/>
            <w:vAlign w:val="bottom"/>
          </w:tcPr>
          <w:p>
            <w:pPr>
              <w:spacing w:after="0"/>
              <w:rPr>
                <w:sz w:val="16"/>
                <w:szCs w:val="16"/>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Randy Pensinger</w:t>
            </w:r>
          </w:p>
        </w:tc>
        <w:tc>
          <w:tcPr>
            <w:tcW w:w="18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0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Senior Software Engineer</w:t>
            </w:r>
          </w:p>
        </w:tc>
        <w:tc>
          <w:tcPr>
            <w:tcW w:w="188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99,898</w:t>
            </w:r>
          </w:p>
        </w:tc>
        <w:tc>
          <w:tcPr>
            <w:tcW w:w="1600" w:type="dxa"/>
            <w:vAlign w:val="bottom"/>
            <w:shd w:val="clear" w:color="auto" w:fill="CCEEFF"/>
          </w:tcPr>
          <w:p>
            <w:pPr>
              <w:jc w:val="right"/>
              <w:ind w:right="554"/>
              <w:spacing w:after="0"/>
              <w:rPr>
                <w:sz w:val="20"/>
                <w:szCs w:val="20"/>
                <w:color w:val="auto"/>
              </w:rPr>
            </w:pPr>
            <w:r>
              <w:rPr>
                <w:rFonts w:ascii="Arial" w:cs="Arial" w:eastAsia="Arial" w:hAnsi="Arial"/>
                <w:sz w:val="17"/>
                <w:szCs w:val="17"/>
                <w:color w:val="auto"/>
              </w:rPr>
              <w:t>99,898</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4000" w:type="dxa"/>
            <w:vAlign w:val="bottom"/>
          </w:tcPr>
          <w:p>
            <w:pPr>
              <w:spacing w:after="0" w:line="194" w:lineRule="exact"/>
              <w:rPr>
                <w:sz w:val="20"/>
                <w:szCs w:val="20"/>
                <w:color w:val="auto"/>
              </w:rPr>
            </w:pPr>
            <w:r>
              <w:rPr>
                <w:rFonts w:ascii="Arial" w:cs="Arial" w:eastAsia="Arial" w:hAnsi="Arial"/>
                <w:sz w:val="17"/>
                <w:szCs w:val="17"/>
                <w:color w:val="auto"/>
              </w:rPr>
              <w:t>Sarah Graves</w:t>
            </w:r>
          </w:p>
        </w:tc>
        <w:tc>
          <w:tcPr>
            <w:tcW w:w="18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ind w:left="800"/>
              <w:spacing w:after="0"/>
              <w:rPr>
                <w:sz w:val="20"/>
                <w:szCs w:val="20"/>
                <w:color w:val="auto"/>
              </w:rPr>
            </w:pPr>
            <w:r>
              <w:rPr>
                <w:rFonts w:ascii="Arial" w:cs="Arial" w:eastAsia="Arial" w:hAnsi="Arial"/>
                <w:sz w:val="17"/>
                <w:szCs w:val="17"/>
                <w:color w:val="auto"/>
              </w:rPr>
              <w:t>Director, Demand Partnerships</w:t>
            </w:r>
          </w:p>
        </w:tc>
        <w:tc>
          <w:tcPr>
            <w:tcW w:w="188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334"/>
              <w:spacing w:after="0"/>
              <w:rPr>
                <w:sz w:val="20"/>
                <w:szCs w:val="20"/>
                <w:color w:val="auto"/>
              </w:rPr>
            </w:pPr>
            <w:r>
              <w:rPr>
                <w:rFonts w:ascii="Arial" w:cs="Arial" w:eastAsia="Arial" w:hAnsi="Arial"/>
                <w:sz w:val="17"/>
                <w:szCs w:val="17"/>
                <w:color w:val="auto"/>
              </w:rPr>
              <w:t>75,832</w:t>
            </w:r>
          </w:p>
        </w:tc>
        <w:tc>
          <w:tcPr>
            <w:tcW w:w="1600" w:type="dxa"/>
            <w:vAlign w:val="bottom"/>
          </w:tcPr>
          <w:p>
            <w:pPr>
              <w:jc w:val="right"/>
              <w:ind w:right="554"/>
              <w:spacing w:after="0"/>
              <w:rPr>
                <w:sz w:val="20"/>
                <w:szCs w:val="20"/>
                <w:color w:val="auto"/>
              </w:rPr>
            </w:pPr>
            <w:r>
              <w:rPr>
                <w:rFonts w:ascii="Arial" w:cs="Arial" w:eastAsia="Arial" w:hAnsi="Arial"/>
                <w:sz w:val="17"/>
                <w:szCs w:val="17"/>
                <w:color w:val="auto"/>
              </w:rPr>
              <w:t>75,832</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800" w:type="dxa"/>
            <w:vAlign w:val="bottom"/>
          </w:tcPr>
          <w:p>
            <w:pPr>
              <w:spacing w:after="0"/>
              <w:rPr>
                <w:sz w:val="16"/>
                <w:szCs w:val="16"/>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Sean Galusha</w:t>
            </w:r>
          </w:p>
        </w:tc>
        <w:tc>
          <w:tcPr>
            <w:tcW w:w="18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0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Senior Director, Supply Partnerships</w:t>
            </w:r>
          </w:p>
        </w:tc>
        <w:tc>
          <w:tcPr>
            <w:tcW w:w="188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91,153</w:t>
            </w:r>
          </w:p>
        </w:tc>
        <w:tc>
          <w:tcPr>
            <w:tcW w:w="1600" w:type="dxa"/>
            <w:vAlign w:val="bottom"/>
            <w:shd w:val="clear" w:color="auto" w:fill="CCEEFF"/>
          </w:tcPr>
          <w:p>
            <w:pPr>
              <w:jc w:val="right"/>
              <w:ind w:right="554"/>
              <w:spacing w:after="0"/>
              <w:rPr>
                <w:sz w:val="20"/>
                <w:szCs w:val="20"/>
                <w:color w:val="auto"/>
              </w:rPr>
            </w:pPr>
            <w:r>
              <w:rPr>
                <w:rFonts w:ascii="Arial" w:cs="Arial" w:eastAsia="Arial" w:hAnsi="Arial"/>
                <w:sz w:val="17"/>
                <w:szCs w:val="17"/>
                <w:color w:val="auto"/>
              </w:rPr>
              <w:t>91,153</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4000" w:type="dxa"/>
            <w:vAlign w:val="bottom"/>
          </w:tcPr>
          <w:p>
            <w:pPr>
              <w:spacing w:after="0" w:line="194" w:lineRule="exact"/>
              <w:rPr>
                <w:sz w:val="20"/>
                <w:szCs w:val="20"/>
                <w:color w:val="auto"/>
              </w:rPr>
            </w:pPr>
            <w:r>
              <w:rPr>
                <w:rFonts w:ascii="Arial" w:cs="Arial" w:eastAsia="Arial" w:hAnsi="Arial"/>
                <w:sz w:val="17"/>
                <w:szCs w:val="17"/>
                <w:color w:val="auto"/>
              </w:rPr>
              <w:t>Sean Mccue</w:t>
            </w:r>
          </w:p>
        </w:tc>
        <w:tc>
          <w:tcPr>
            <w:tcW w:w="18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ind w:left="800"/>
              <w:spacing w:after="0"/>
              <w:rPr>
                <w:sz w:val="20"/>
                <w:szCs w:val="20"/>
                <w:color w:val="auto"/>
              </w:rPr>
            </w:pPr>
            <w:r>
              <w:rPr>
                <w:rFonts w:ascii="Arial" w:cs="Arial" w:eastAsia="Arial" w:hAnsi="Arial"/>
                <w:sz w:val="17"/>
                <w:szCs w:val="17"/>
                <w:color w:val="auto"/>
              </w:rPr>
              <w:t>Director, Program Management</w:t>
            </w:r>
          </w:p>
        </w:tc>
        <w:tc>
          <w:tcPr>
            <w:tcW w:w="188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334"/>
              <w:spacing w:after="0"/>
              <w:rPr>
                <w:sz w:val="20"/>
                <w:szCs w:val="20"/>
                <w:color w:val="auto"/>
              </w:rPr>
            </w:pPr>
            <w:r>
              <w:rPr>
                <w:rFonts w:ascii="Arial" w:cs="Arial" w:eastAsia="Arial" w:hAnsi="Arial"/>
                <w:sz w:val="17"/>
                <w:szCs w:val="17"/>
                <w:color w:val="auto"/>
              </w:rPr>
              <w:t>62,907</w:t>
            </w:r>
          </w:p>
        </w:tc>
        <w:tc>
          <w:tcPr>
            <w:tcW w:w="1600" w:type="dxa"/>
            <w:vAlign w:val="bottom"/>
          </w:tcPr>
          <w:p>
            <w:pPr>
              <w:jc w:val="right"/>
              <w:ind w:right="554"/>
              <w:spacing w:after="0"/>
              <w:rPr>
                <w:sz w:val="20"/>
                <w:szCs w:val="20"/>
                <w:color w:val="auto"/>
              </w:rPr>
            </w:pPr>
            <w:r>
              <w:rPr>
                <w:rFonts w:ascii="Arial" w:cs="Arial" w:eastAsia="Arial" w:hAnsi="Arial"/>
                <w:sz w:val="17"/>
                <w:szCs w:val="17"/>
                <w:color w:val="auto"/>
              </w:rPr>
              <w:t>62,907</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800" w:type="dxa"/>
            <w:vAlign w:val="bottom"/>
          </w:tcPr>
          <w:p>
            <w:pPr>
              <w:spacing w:after="0"/>
              <w:rPr>
                <w:sz w:val="16"/>
                <w:szCs w:val="16"/>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Sergiy Zuban</w:t>
            </w:r>
          </w:p>
        </w:tc>
        <w:tc>
          <w:tcPr>
            <w:tcW w:w="18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0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Senior Software Engineer</w:t>
            </w:r>
          </w:p>
        </w:tc>
        <w:tc>
          <w:tcPr>
            <w:tcW w:w="188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82,247</w:t>
            </w:r>
          </w:p>
        </w:tc>
        <w:tc>
          <w:tcPr>
            <w:tcW w:w="1600" w:type="dxa"/>
            <w:vAlign w:val="bottom"/>
            <w:shd w:val="clear" w:color="auto" w:fill="CCEEFF"/>
          </w:tcPr>
          <w:p>
            <w:pPr>
              <w:jc w:val="right"/>
              <w:ind w:right="554"/>
              <w:spacing w:after="0"/>
              <w:rPr>
                <w:sz w:val="20"/>
                <w:szCs w:val="20"/>
                <w:color w:val="auto"/>
              </w:rPr>
            </w:pPr>
            <w:r>
              <w:rPr>
                <w:rFonts w:ascii="Arial" w:cs="Arial" w:eastAsia="Arial" w:hAnsi="Arial"/>
                <w:sz w:val="17"/>
                <w:szCs w:val="17"/>
                <w:color w:val="auto"/>
              </w:rPr>
              <w:t>82,247</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4000" w:type="dxa"/>
            <w:vAlign w:val="bottom"/>
          </w:tcPr>
          <w:p>
            <w:pPr>
              <w:spacing w:after="0" w:line="194" w:lineRule="exact"/>
              <w:rPr>
                <w:sz w:val="20"/>
                <w:szCs w:val="20"/>
                <w:color w:val="auto"/>
              </w:rPr>
            </w:pPr>
            <w:r>
              <w:rPr>
                <w:rFonts w:ascii="Arial" w:cs="Arial" w:eastAsia="Arial" w:hAnsi="Arial"/>
                <w:sz w:val="17"/>
                <w:szCs w:val="17"/>
                <w:color w:val="auto"/>
              </w:rPr>
              <w:t>Shant Aroch</w:t>
            </w:r>
          </w:p>
        </w:tc>
        <w:tc>
          <w:tcPr>
            <w:tcW w:w="18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ind w:left="800"/>
              <w:spacing w:after="0"/>
              <w:rPr>
                <w:sz w:val="20"/>
                <w:szCs w:val="20"/>
                <w:color w:val="auto"/>
              </w:rPr>
            </w:pPr>
            <w:r>
              <w:rPr>
                <w:rFonts w:ascii="Arial" w:cs="Arial" w:eastAsia="Arial" w:hAnsi="Arial"/>
                <w:sz w:val="17"/>
                <w:szCs w:val="17"/>
                <w:color w:val="auto"/>
              </w:rPr>
              <w:t>Director, Media Buying</w:t>
            </w:r>
          </w:p>
        </w:tc>
        <w:tc>
          <w:tcPr>
            <w:tcW w:w="188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334"/>
              <w:spacing w:after="0"/>
              <w:rPr>
                <w:sz w:val="20"/>
                <w:szCs w:val="20"/>
                <w:color w:val="auto"/>
              </w:rPr>
            </w:pPr>
            <w:r>
              <w:rPr>
                <w:rFonts w:ascii="Arial" w:cs="Arial" w:eastAsia="Arial" w:hAnsi="Arial"/>
                <w:sz w:val="17"/>
                <w:szCs w:val="17"/>
                <w:color w:val="auto"/>
              </w:rPr>
              <w:t>49,291</w:t>
            </w:r>
          </w:p>
        </w:tc>
        <w:tc>
          <w:tcPr>
            <w:tcW w:w="1600" w:type="dxa"/>
            <w:vAlign w:val="bottom"/>
          </w:tcPr>
          <w:p>
            <w:pPr>
              <w:jc w:val="right"/>
              <w:ind w:right="554"/>
              <w:spacing w:after="0"/>
              <w:rPr>
                <w:sz w:val="20"/>
                <w:szCs w:val="20"/>
                <w:color w:val="auto"/>
              </w:rPr>
            </w:pPr>
            <w:r>
              <w:rPr>
                <w:rFonts w:ascii="Arial" w:cs="Arial" w:eastAsia="Arial" w:hAnsi="Arial"/>
                <w:sz w:val="17"/>
                <w:szCs w:val="17"/>
                <w:color w:val="auto"/>
              </w:rPr>
              <w:t>49,291</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800" w:type="dxa"/>
            <w:vAlign w:val="bottom"/>
          </w:tcPr>
          <w:p>
            <w:pPr>
              <w:spacing w:after="0"/>
              <w:rPr>
                <w:sz w:val="16"/>
                <w:szCs w:val="16"/>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Tawny Graham</w:t>
            </w:r>
          </w:p>
        </w:tc>
        <w:tc>
          <w:tcPr>
            <w:tcW w:w="18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0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Director, Demand Partnerships</w:t>
            </w:r>
          </w:p>
        </w:tc>
        <w:tc>
          <w:tcPr>
            <w:tcW w:w="188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69,370</w:t>
            </w:r>
          </w:p>
        </w:tc>
        <w:tc>
          <w:tcPr>
            <w:tcW w:w="1600" w:type="dxa"/>
            <w:vAlign w:val="bottom"/>
            <w:shd w:val="clear" w:color="auto" w:fill="CCEEFF"/>
          </w:tcPr>
          <w:p>
            <w:pPr>
              <w:jc w:val="right"/>
              <w:ind w:right="554"/>
              <w:spacing w:after="0"/>
              <w:rPr>
                <w:sz w:val="20"/>
                <w:szCs w:val="20"/>
                <w:color w:val="auto"/>
              </w:rPr>
            </w:pPr>
            <w:r>
              <w:rPr>
                <w:rFonts w:ascii="Arial" w:cs="Arial" w:eastAsia="Arial" w:hAnsi="Arial"/>
                <w:sz w:val="17"/>
                <w:szCs w:val="17"/>
                <w:color w:val="auto"/>
              </w:rPr>
              <w:t>69,370</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4000" w:type="dxa"/>
            <w:vAlign w:val="bottom"/>
          </w:tcPr>
          <w:p>
            <w:pPr>
              <w:spacing w:after="0" w:line="194" w:lineRule="exact"/>
              <w:rPr>
                <w:sz w:val="20"/>
                <w:szCs w:val="20"/>
                <w:color w:val="auto"/>
              </w:rPr>
            </w:pPr>
            <w:r>
              <w:rPr>
                <w:rFonts w:ascii="Arial" w:cs="Arial" w:eastAsia="Arial" w:hAnsi="Arial"/>
                <w:sz w:val="17"/>
                <w:szCs w:val="17"/>
                <w:color w:val="auto"/>
              </w:rPr>
              <w:t>Thommy Guerrero</w:t>
            </w:r>
          </w:p>
        </w:tc>
        <w:tc>
          <w:tcPr>
            <w:tcW w:w="18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ind w:left="800"/>
              <w:spacing w:after="0"/>
              <w:rPr>
                <w:sz w:val="20"/>
                <w:szCs w:val="20"/>
                <w:color w:val="auto"/>
              </w:rPr>
            </w:pPr>
            <w:r>
              <w:rPr>
                <w:rFonts w:ascii="Arial" w:cs="Arial" w:eastAsia="Arial" w:hAnsi="Arial"/>
                <w:sz w:val="17"/>
                <w:szCs w:val="17"/>
                <w:color w:val="auto"/>
              </w:rPr>
              <w:t>Director, Finance</w:t>
            </w:r>
          </w:p>
        </w:tc>
        <w:tc>
          <w:tcPr>
            <w:tcW w:w="188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334"/>
              <w:spacing w:after="0"/>
              <w:rPr>
                <w:sz w:val="20"/>
                <w:szCs w:val="20"/>
                <w:color w:val="auto"/>
              </w:rPr>
            </w:pPr>
            <w:r>
              <w:rPr>
                <w:rFonts w:ascii="Arial" w:cs="Arial" w:eastAsia="Arial" w:hAnsi="Arial"/>
                <w:sz w:val="17"/>
                <w:szCs w:val="17"/>
                <w:color w:val="auto"/>
              </w:rPr>
              <w:t>76,394</w:t>
            </w:r>
          </w:p>
        </w:tc>
        <w:tc>
          <w:tcPr>
            <w:tcW w:w="1600" w:type="dxa"/>
            <w:vAlign w:val="bottom"/>
          </w:tcPr>
          <w:p>
            <w:pPr>
              <w:jc w:val="right"/>
              <w:ind w:right="554"/>
              <w:spacing w:after="0"/>
              <w:rPr>
                <w:sz w:val="20"/>
                <w:szCs w:val="20"/>
                <w:color w:val="auto"/>
              </w:rPr>
            </w:pPr>
            <w:r>
              <w:rPr>
                <w:rFonts w:ascii="Arial" w:cs="Arial" w:eastAsia="Arial" w:hAnsi="Arial"/>
                <w:sz w:val="17"/>
                <w:szCs w:val="17"/>
                <w:color w:val="auto"/>
              </w:rPr>
              <w:t>76,394</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800" w:type="dxa"/>
            <w:vAlign w:val="bottom"/>
          </w:tcPr>
          <w:p>
            <w:pPr>
              <w:spacing w:after="0"/>
              <w:rPr>
                <w:sz w:val="16"/>
                <w:szCs w:val="16"/>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Tigran Mekikian</w:t>
            </w:r>
          </w:p>
        </w:tc>
        <w:tc>
          <w:tcPr>
            <w:tcW w:w="18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0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Senior Director, Demand Partnerships</w:t>
            </w:r>
          </w:p>
        </w:tc>
        <w:tc>
          <w:tcPr>
            <w:tcW w:w="188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89,352</w:t>
            </w:r>
          </w:p>
        </w:tc>
        <w:tc>
          <w:tcPr>
            <w:tcW w:w="1600" w:type="dxa"/>
            <w:vAlign w:val="bottom"/>
            <w:shd w:val="clear" w:color="auto" w:fill="CCEEFF"/>
          </w:tcPr>
          <w:p>
            <w:pPr>
              <w:jc w:val="right"/>
              <w:ind w:right="554"/>
              <w:spacing w:after="0"/>
              <w:rPr>
                <w:sz w:val="20"/>
                <w:szCs w:val="20"/>
                <w:color w:val="auto"/>
              </w:rPr>
            </w:pPr>
            <w:r>
              <w:rPr>
                <w:rFonts w:ascii="Arial" w:cs="Arial" w:eastAsia="Arial" w:hAnsi="Arial"/>
                <w:sz w:val="17"/>
                <w:szCs w:val="17"/>
                <w:color w:val="auto"/>
              </w:rPr>
              <w:t>89,352</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4000" w:type="dxa"/>
            <w:vAlign w:val="bottom"/>
          </w:tcPr>
          <w:p>
            <w:pPr>
              <w:spacing w:after="0" w:line="194" w:lineRule="exact"/>
              <w:rPr>
                <w:sz w:val="20"/>
                <w:szCs w:val="20"/>
                <w:color w:val="auto"/>
              </w:rPr>
            </w:pPr>
            <w:r>
              <w:rPr>
                <w:rFonts w:ascii="Arial" w:cs="Arial" w:eastAsia="Arial" w:hAnsi="Arial"/>
                <w:sz w:val="17"/>
                <w:szCs w:val="17"/>
                <w:color w:val="auto"/>
              </w:rPr>
              <w:t>Tony Leung</w:t>
            </w:r>
          </w:p>
        </w:tc>
        <w:tc>
          <w:tcPr>
            <w:tcW w:w="18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ind w:left="800"/>
              <w:spacing w:after="0"/>
              <w:rPr>
                <w:sz w:val="20"/>
                <w:szCs w:val="20"/>
                <w:color w:val="auto"/>
              </w:rPr>
            </w:pPr>
            <w:r>
              <w:rPr>
                <w:rFonts w:ascii="Arial" w:cs="Arial" w:eastAsia="Arial" w:hAnsi="Arial"/>
                <w:sz w:val="17"/>
                <w:szCs w:val="17"/>
                <w:color w:val="auto"/>
              </w:rPr>
              <w:t>Director, Yield Optimization</w:t>
            </w:r>
          </w:p>
        </w:tc>
        <w:tc>
          <w:tcPr>
            <w:tcW w:w="188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334"/>
              <w:spacing w:after="0"/>
              <w:rPr>
                <w:sz w:val="20"/>
                <w:szCs w:val="20"/>
                <w:color w:val="auto"/>
              </w:rPr>
            </w:pPr>
            <w:r>
              <w:rPr>
                <w:rFonts w:ascii="Arial" w:cs="Arial" w:eastAsia="Arial" w:hAnsi="Arial"/>
                <w:sz w:val="17"/>
                <w:szCs w:val="17"/>
                <w:color w:val="auto"/>
              </w:rPr>
              <w:t>49,291</w:t>
            </w:r>
          </w:p>
        </w:tc>
        <w:tc>
          <w:tcPr>
            <w:tcW w:w="1600" w:type="dxa"/>
            <w:vAlign w:val="bottom"/>
          </w:tcPr>
          <w:p>
            <w:pPr>
              <w:jc w:val="right"/>
              <w:ind w:right="554"/>
              <w:spacing w:after="0"/>
              <w:rPr>
                <w:sz w:val="20"/>
                <w:szCs w:val="20"/>
                <w:color w:val="auto"/>
              </w:rPr>
            </w:pPr>
            <w:r>
              <w:rPr>
                <w:rFonts w:ascii="Arial" w:cs="Arial" w:eastAsia="Arial" w:hAnsi="Arial"/>
                <w:sz w:val="17"/>
                <w:szCs w:val="17"/>
                <w:color w:val="auto"/>
              </w:rPr>
              <w:t>49,291</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800" w:type="dxa"/>
            <w:vAlign w:val="bottom"/>
          </w:tcPr>
          <w:p>
            <w:pPr>
              <w:spacing w:after="0"/>
              <w:rPr>
                <w:sz w:val="16"/>
                <w:szCs w:val="16"/>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Wu Tsung (Kai) Kao</w:t>
            </w:r>
          </w:p>
        </w:tc>
        <w:tc>
          <w:tcPr>
            <w:tcW w:w="18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0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Senior Software Engineer</w:t>
            </w:r>
          </w:p>
        </w:tc>
        <w:tc>
          <w:tcPr>
            <w:tcW w:w="188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70,783</w:t>
            </w:r>
          </w:p>
        </w:tc>
        <w:tc>
          <w:tcPr>
            <w:tcW w:w="1600" w:type="dxa"/>
            <w:vAlign w:val="bottom"/>
            <w:shd w:val="clear" w:color="auto" w:fill="CCEEFF"/>
          </w:tcPr>
          <w:p>
            <w:pPr>
              <w:jc w:val="right"/>
              <w:ind w:right="554"/>
              <w:spacing w:after="0"/>
              <w:rPr>
                <w:sz w:val="20"/>
                <w:szCs w:val="20"/>
                <w:color w:val="auto"/>
              </w:rPr>
            </w:pPr>
            <w:r>
              <w:rPr>
                <w:rFonts w:ascii="Arial" w:cs="Arial" w:eastAsia="Arial" w:hAnsi="Arial"/>
                <w:sz w:val="17"/>
                <w:szCs w:val="17"/>
                <w:color w:val="auto"/>
              </w:rPr>
              <w:t>70,783</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4000" w:type="dxa"/>
            <w:vAlign w:val="bottom"/>
          </w:tcPr>
          <w:p>
            <w:pPr>
              <w:spacing w:after="0" w:line="194" w:lineRule="exact"/>
              <w:rPr>
                <w:sz w:val="20"/>
                <w:szCs w:val="20"/>
                <w:color w:val="auto"/>
              </w:rPr>
            </w:pPr>
            <w:r>
              <w:rPr>
                <w:rFonts w:ascii="Arial" w:cs="Arial" w:eastAsia="Arial" w:hAnsi="Arial"/>
                <w:sz w:val="17"/>
                <w:szCs w:val="17"/>
                <w:color w:val="auto"/>
              </w:rPr>
              <w:t>Yanfei Shao</w:t>
            </w:r>
          </w:p>
        </w:tc>
        <w:tc>
          <w:tcPr>
            <w:tcW w:w="18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ind w:left="800"/>
              <w:spacing w:after="0"/>
              <w:rPr>
                <w:sz w:val="20"/>
                <w:szCs w:val="20"/>
                <w:color w:val="auto"/>
              </w:rPr>
            </w:pPr>
            <w:r>
              <w:rPr>
                <w:rFonts w:ascii="Arial" w:cs="Arial" w:eastAsia="Arial" w:hAnsi="Arial"/>
                <w:sz w:val="17"/>
                <w:szCs w:val="17"/>
                <w:color w:val="auto"/>
              </w:rPr>
              <w:t>Software Engineer</w:t>
            </w:r>
          </w:p>
        </w:tc>
        <w:tc>
          <w:tcPr>
            <w:tcW w:w="188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334"/>
              <w:spacing w:after="0"/>
              <w:rPr>
                <w:sz w:val="20"/>
                <w:szCs w:val="20"/>
                <w:color w:val="auto"/>
              </w:rPr>
            </w:pPr>
            <w:r>
              <w:rPr>
                <w:rFonts w:ascii="Arial" w:cs="Arial" w:eastAsia="Arial" w:hAnsi="Arial"/>
                <w:sz w:val="17"/>
                <w:szCs w:val="17"/>
                <w:color w:val="auto"/>
              </w:rPr>
              <w:t>36,092</w:t>
            </w:r>
          </w:p>
        </w:tc>
        <w:tc>
          <w:tcPr>
            <w:tcW w:w="1600" w:type="dxa"/>
            <w:vAlign w:val="bottom"/>
          </w:tcPr>
          <w:p>
            <w:pPr>
              <w:jc w:val="right"/>
              <w:ind w:right="554"/>
              <w:spacing w:after="0"/>
              <w:rPr>
                <w:sz w:val="20"/>
                <w:szCs w:val="20"/>
                <w:color w:val="auto"/>
              </w:rPr>
            </w:pPr>
            <w:r>
              <w:rPr>
                <w:rFonts w:ascii="Arial" w:cs="Arial" w:eastAsia="Arial" w:hAnsi="Arial"/>
                <w:sz w:val="17"/>
                <w:szCs w:val="17"/>
                <w:color w:val="auto"/>
              </w:rPr>
              <w:t>36,092</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800" w:type="dxa"/>
            <w:vAlign w:val="bottom"/>
          </w:tcPr>
          <w:p>
            <w:pPr>
              <w:spacing w:after="0"/>
              <w:rPr>
                <w:sz w:val="16"/>
                <w:szCs w:val="16"/>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Yousef Noor</w:t>
            </w:r>
          </w:p>
        </w:tc>
        <w:tc>
          <w:tcPr>
            <w:tcW w:w="18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0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Manager, Front-End Software</w:t>
            </w:r>
          </w:p>
        </w:tc>
        <w:tc>
          <w:tcPr>
            <w:tcW w:w="188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55,754</w:t>
            </w:r>
          </w:p>
        </w:tc>
        <w:tc>
          <w:tcPr>
            <w:tcW w:w="1600" w:type="dxa"/>
            <w:vAlign w:val="bottom"/>
            <w:shd w:val="clear" w:color="auto" w:fill="CCEEFF"/>
          </w:tcPr>
          <w:p>
            <w:pPr>
              <w:jc w:val="right"/>
              <w:ind w:right="554"/>
              <w:spacing w:after="0"/>
              <w:rPr>
                <w:sz w:val="20"/>
                <w:szCs w:val="20"/>
                <w:color w:val="auto"/>
              </w:rPr>
            </w:pPr>
            <w:r>
              <w:rPr>
                <w:rFonts w:ascii="Arial" w:cs="Arial" w:eastAsia="Arial" w:hAnsi="Arial"/>
                <w:sz w:val="17"/>
                <w:szCs w:val="17"/>
                <w:color w:val="auto"/>
              </w:rPr>
              <w:t>55,754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780" w:hanging="410"/>
        <w:spacing w:after="0"/>
        <w:tabs>
          <w:tab w:leader="none" w:pos="7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Less than 1% of shares of our Class A common stock outstanding assuming the sale of none of the shares offered under this registration statement.</w:t>
      </w:r>
    </w:p>
    <w:p>
      <w:pPr>
        <w:spacing w:after="0" w:line="149" w:lineRule="exact"/>
        <w:rPr>
          <w:sz w:val="20"/>
          <w:szCs w:val="20"/>
          <w:color w:val="auto"/>
        </w:rPr>
      </w:pPr>
    </w:p>
    <w:p>
      <w:pPr>
        <w:ind w:left="780" w:hanging="410"/>
        <w:spacing w:after="0" w:line="256" w:lineRule="auto"/>
        <w:tabs>
          <w:tab w:leader="none" w:pos="7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As used in this table, a beneficial owner of a security includes any person who, directly or indirectly, through contract, arrangement, understanding or otherwise has or shares (i) the power to vote or direct the voting of such security or (ii) investment power, which includes the power to dispose or to direct the disposition of such security. In addition, a person is deemed to be the beneficial owner of a security, if that person has the right to acquire beneficial ownership of such security within 60 days.</w:t>
      </w:r>
    </w:p>
    <w:p>
      <w:pPr>
        <w:spacing w:after="0" w:line="1" w:lineRule="exact"/>
        <w:rPr>
          <w:rFonts w:ascii="Arial" w:cs="Arial" w:eastAsia="Arial" w:hAnsi="Arial"/>
          <w:sz w:val="17"/>
          <w:szCs w:val="17"/>
          <w:color w:val="auto"/>
        </w:rPr>
      </w:pPr>
    </w:p>
    <w:p>
      <w:pPr>
        <w:ind w:left="780" w:right="440" w:hanging="410"/>
        <w:spacing w:after="0" w:line="265" w:lineRule="auto"/>
        <w:tabs>
          <w:tab w:leader="none" w:pos="7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Includes the number of shares of our Class A common stock that each Selling Shareholder has previously acquired under the Restricted Unit Plans, some or all of which may be sold from time to time under to this reoffer prospectus.</w:t>
      </w:r>
    </w:p>
    <w:p>
      <w:pPr>
        <w:spacing w:after="0" w:line="176" w:lineRule="exact"/>
        <w:rPr>
          <w:sz w:val="20"/>
          <w:szCs w:val="20"/>
          <w:color w:val="auto"/>
        </w:rPr>
      </w:pPr>
    </w:p>
    <w:p>
      <w:pPr>
        <w:ind w:left="380" w:right="520"/>
        <w:spacing w:after="0" w:line="311" w:lineRule="auto"/>
        <w:rPr>
          <w:sz w:val="20"/>
          <w:szCs w:val="20"/>
          <w:color w:val="auto"/>
        </w:rPr>
      </w:pPr>
      <w:r>
        <w:rPr>
          <w:rFonts w:ascii="Arial" w:cs="Arial" w:eastAsia="Arial" w:hAnsi="Arial"/>
          <w:sz w:val="16"/>
          <w:szCs w:val="16"/>
          <w:color w:val="auto"/>
        </w:rPr>
        <w:t>Unnamed non-affiliates of the Company, each of whom may sell up to the lesser of 1,000 shares of Class A common stock or 1% of the shares of Class A common stock issued under the Restricted Unit Plans, may use this reoffer prospectus for reoffers and resales.</w:t>
      </w:r>
    </w:p>
    <w:p>
      <w:pPr>
        <w:spacing w:after="0" w:line="7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860"/>
          </w:cols>
          <w:pgMar w:left="320" w:top="444" w:right="71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24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5180" cy="24765"/>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PLAN OF DISTRIBUTION</w:t>
      </w:r>
    </w:p>
    <w:p>
      <w:pPr>
        <w:spacing w:after="0" w:line="223" w:lineRule="exact"/>
        <w:rPr>
          <w:sz w:val="20"/>
          <w:szCs w:val="20"/>
          <w:color w:val="auto"/>
        </w:rPr>
      </w:pPr>
    </w:p>
    <w:p>
      <w:pPr>
        <w:ind w:left="380" w:right="200"/>
        <w:spacing w:after="0" w:line="302" w:lineRule="auto"/>
        <w:rPr>
          <w:sz w:val="20"/>
          <w:szCs w:val="20"/>
          <w:color w:val="auto"/>
        </w:rPr>
      </w:pPr>
      <w:r>
        <w:rPr>
          <w:rFonts w:ascii="Arial" w:cs="Arial" w:eastAsia="Arial" w:hAnsi="Arial"/>
          <w:sz w:val="15"/>
          <w:szCs w:val="15"/>
          <w:color w:val="auto"/>
        </w:rPr>
        <w:t>The purpose of this reoffer prospectus is to allow the Selling Shareholders to offer for sale and sell all or a portion of their shares acquired pursuant to the Restricted Unit Plans. The Selling Shareholders may sell the shares of Class A common stock offered under this reoffer prospectus directly to purchasers or through broker-dealers or agents, who may receive compensation in the form of discounts, concessions or commissions from the selling stockholder or the purchasers. These commissions as to any particular broker-dealer or agent may be in excess of those customary in the types of transactions involved. Neither we nor the Selling Shareholders can presently estimate the amount of this compensation.</w:t>
      </w:r>
    </w:p>
    <w:p>
      <w:pPr>
        <w:spacing w:after="0" w:line="151" w:lineRule="exact"/>
        <w:rPr>
          <w:sz w:val="20"/>
          <w:szCs w:val="20"/>
          <w:color w:val="auto"/>
        </w:rPr>
      </w:pPr>
    </w:p>
    <w:p>
      <w:pPr>
        <w:ind w:left="380"/>
        <w:spacing w:after="0" w:line="266" w:lineRule="auto"/>
        <w:rPr>
          <w:sz w:val="20"/>
          <w:szCs w:val="20"/>
          <w:color w:val="auto"/>
        </w:rPr>
      </w:pPr>
      <w:r>
        <w:rPr>
          <w:rFonts w:ascii="Arial" w:cs="Arial" w:eastAsia="Arial" w:hAnsi="Arial"/>
          <w:sz w:val="17"/>
          <w:szCs w:val="17"/>
          <w:color w:val="auto"/>
        </w:rPr>
        <w:t>The Class A common stock offered under this reoffer prospectus may be sold in one or more transactions at fixed prices, at prevailing market prices at the time of sale, at prices related to the prevailing market prices, at varying prices determined at the time of sale, or at negotiated prices. These sales may be effected in transactions, which may involve block transactions, on the New York Stock Exchange.</w:t>
      </w:r>
    </w:p>
    <w:p>
      <w:pPr>
        <w:spacing w:after="0" w:line="11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860"/>
          </w:cols>
          <w:pgMar w:left="320" w:top="444" w:right="71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247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5180" cy="24765"/>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380" w:right="80"/>
        <w:spacing w:after="0" w:line="261" w:lineRule="auto"/>
        <w:rPr>
          <w:sz w:val="20"/>
          <w:szCs w:val="20"/>
          <w:color w:val="auto"/>
        </w:rPr>
      </w:pPr>
      <w:r>
        <w:rPr>
          <w:rFonts w:ascii="Arial" w:cs="Arial" w:eastAsia="Arial" w:hAnsi="Arial"/>
          <w:sz w:val="17"/>
          <w:szCs w:val="17"/>
          <w:color w:val="auto"/>
        </w:rPr>
        <w:t>The aggregate proceeds to the Selling Shareholders from the sale of the Class A common stock offered by them will be the purchase price of the common stock less discounts and commissions, if any. Each of the Selling Shareholders reserves the right to accept and, together with their agents from time to time, to reject, in whole or in part, any proposed purchase of Class A common stock to be made directly or through agents. We will not receive any of the proceeds from this offering.</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Class A common stock is approved for listing on the NYSE.</w:t>
      </w:r>
    </w:p>
    <w:p>
      <w:pPr>
        <w:spacing w:after="0" w:line="217" w:lineRule="exact"/>
        <w:rPr>
          <w:sz w:val="20"/>
          <w:szCs w:val="20"/>
          <w:color w:val="auto"/>
        </w:rPr>
      </w:pPr>
    </w:p>
    <w:p>
      <w:pPr>
        <w:ind w:left="380" w:right="20"/>
        <w:spacing w:after="0" w:line="261" w:lineRule="auto"/>
        <w:rPr>
          <w:sz w:val="20"/>
          <w:szCs w:val="20"/>
          <w:color w:val="auto"/>
        </w:rPr>
      </w:pPr>
      <w:r>
        <w:rPr>
          <w:rFonts w:ascii="Arial" w:cs="Arial" w:eastAsia="Arial" w:hAnsi="Arial"/>
          <w:sz w:val="17"/>
          <w:szCs w:val="17"/>
          <w:color w:val="auto"/>
        </w:rPr>
        <w:t>Selling Shareholders and any broker-dealers or agents that participate in the sale of the common stock may be “underwriters” within the meaning of Section 2(11) of the Securities Act. Any discounts, commissions, concessions or profit they earn on any resale of the shares may be underwriting discounts and commissions under the Securities Act. If the Selling Shareholder is an “underwriter” within the meaning of Section 2(11) of the Securities Act, the Selling Shareholder will be subject to the prospectus delivery requirements of the Securities Act.</w:t>
      </w:r>
    </w:p>
    <w:p>
      <w:pPr>
        <w:spacing w:after="0" w:line="180" w:lineRule="exact"/>
        <w:rPr>
          <w:sz w:val="20"/>
          <w:szCs w:val="20"/>
          <w:color w:val="auto"/>
        </w:rPr>
      </w:pPr>
    </w:p>
    <w:p>
      <w:pPr>
        <w:ind w:left="380"/>
        <w:spacing w:after="0" w:line="290" w:lineRule="auto"/>
        <w:rPr>
          <w:sz w:val="20"/>
          <w:szCs w:val="20"/>
          <w:color w:val="auto"/>
        </w:rPr>
      </w:pPr>
      <w:r>
        <w:rPr>
          <w:rFonts w:ascii="Arial" w:cs="Arial" w:eastAsia="Arial" w:hAnsi="Arial"/>
          <w:sz w:val="16"/>
          <w:szCs w:val="16"/>
          <w:color w:val="auto"/>
        </w:rPr>
        <w:t>Shares to be offered or resold by means of this reoffer prospectus by the Selling Shareholders may not exceed, during any three-month period, the amount specified in Rule 144(e) under the Securities Act. In addition, any securities covered by this reoffer prospectus which qualify for sale pursuant to Rule 144 of the Securities Act may be sold under Rule 144 of the Securities Act rather than pursuant to this reoffer prospectus.</w:t>
      </w:r>
    </w:p>
    <w:p>
      <w:pPr>
        <w:spacing w:after="0" w:line="35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EXPERTS</w:t>
      </w:r>
    </w:p>
    <w:p>
      <w:pPr>
        <w:spacing w:after="0" w:line="223" w:lineRule="exact"/>
        <w:rPr>
          <w:sz w:val="20"/>
          <w:szCs w:val="20"/>
          <w:color w:val="auto"/>
        </w:rPr>
      </w:pPr>
    </w:p>
    <w:p>
      <w:pPr>
        <w:ind w:left="380" w:right="60"/>
        <w:spacing w:after="0" w:line="307" w:lineRule="auto"/>
        <w:rPr>
          <w:sz w:val="20"/>
          <w:szCs w:val="20"/>
          <w:color w:val="auto"/>
        </w:rPr>
      </w:pPr>
      <w:r>
        <w:rPr>
          <w:rFonts w:ascii="Arial" w:cs="Arial" w:eastAsia="Arial" w:hAnsi="Arial"/>
          <w:sz w:val="15"/>
          <w:szCs w:val="15"/>
          <w:color w:val="auto"/>
        </w:rPr>
        <w:t>The financial statements of MediaAlpha, Inc. as of August 31, 2020 and for the period from inception (July 9, 2020) to August 31, 2020 incorporated in this reoffer prospectus by reference to MediaAlpha, Inc.’s final prospectus filed with the Commission pursuant to Rule 424(b) under the Securities Act on October 29, 2020, in connection with the Company’s Form S-1, have been so included in reliance on the report of PricewaterhouseCoopers LLP, an independent registered public accounting firm, given on the authority of said firm as experts in auditing and accounting.</w:t>
      </w:r>
    </w:p>
    <w:p>
      <w:pPr>
        <w:spacing w:after="0" w:line="148" w:lineRule="exact"/>
        <w:rPr>
          <w:sz w:val="20"/>
          <w:szCs w:val="20"/>
          <w:color w:val="auto"/>
        </w:rPr>
      </w:pPr>
    </w:p>
    <w:p>
      <w:pPr>
        <w:ind w:left="380" w:right="20"/>
        <w:spacing w:after="0" w:line="283" w:lineRule="auto"/>
        <w:rPr>
          <w:sz w:val="20"/>
          <w:szCs w:val="20"/>
          <w:color w:val="auto"/>
        </w:rPr>
      </w:pPr>
      <w:r>
        <w:rPr>
          <w:rFonts w:ascii="Arial" w:cs="Arial" w:eastAsia="Arial" w:hAnsi="Arial"/>
          <w:sz w:val="16"/>
          <w:szCs w:val="16"/>
          <w:color w:val="auto"/>
        </w:rPr>
        <w:t>The financial statements of QL Holdings LLC as of December 31, 2019 and 2018 and for the years then ended incorporated in this reoffer prospectus by reference to MediaAlpha, Inc.’s final prospectus filed with the Commission pursuant to Rule 424(b) under the Securities Act on October 29, 2020, in connection with the Company’s Form S-1, have been so included in reliance on the report of PricewaterhouseCoopers LLP, an independent registered public accounting firm, given on the authority of said firm as experts in auditing and accounting.</w:t>
      </w:r>
    </w:p>
    <w:p>
      <w:pPr>
        <w:spacing w:after="0" w:line="162" w:lineRule="exact"/>
        <w:rPr>
          <w:sz w:val="20"/>
          <w:szCs w:val="20"/>
          <w:color w:val="auto"/>
        </w:rPr>
      </w:pPr>
    </w:p>
    <w:p>
      <w:pPr>
        <w:ind w:left="380" w:right="140"/>
        <w:spacing w:after="0" w:line="261" w:lineRule="auto"/>
        <w:rPr>
          <w:sz w:val="20"/>
          <w:szCs w:val="20"/>
          <w:color w:val="auto"/>
        </w:rPr>
      </w:pPr>
      <w:r>
        <w:rPr>
          <w:rFonts w:ascii="Arial" w:cs="Arial" w:eastAsia="Arial" w:hAnsi="Arial"/>
          <w:sz w:val="17"/>
          <w:szCs w:val="17"/>
          <w:color w:val="auto"/>
        </w:rPr>
        <w:t>The financial statement of Guilford Holdings, Inc. as of October 20, 2020 incorporated in this reoffer prospectus by reference to MediaAlpha, Inc.’s final prospectus filed with the Commission pursuant to Rule 424(b) under the Securities Act on October 29, 2020, in connection with the Company’s Form S-1, have been so included in reliance on the report of PricewaterhouseCoopers LLP, an independent registered public accounting firm, given on the authority of said firm as experts in auditing and accounting.</w:t>
      </w:r>
    </w:p>
    <w:p>
      <w:pPr>
        <w:spacing w:after="0" w:line="38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INDEMNIFICATION OF DIRECTORS AND OFFICERS</w:t>
      </w:r>
    </w:p>
    <w:p>
      <w:pPr>
        <w:spacing w:after="0" w:line="223" w:lineRule="exact"/>
        <w:rPr>
          <w:sz w:val="20"/>
          <w:szCs w:val="20"/>
          <w:color w:val="auto"/>
        </w:rPr>
      </w:pPr>
    </w:p>
    <w:p>
      <w:pPr>
        <w:ind w:left="380" w:right="20"/>
        <w:spacing w:after="0" w:line="259" w:lineRule="auto"/>
        <w:rPr>
          <w:sz w:val="20"/>
          <w:szCs w:val="20"/>
          <w:color w:val="auto"/>
        </w:rPr>
      </w:pPr>
      <w:r>
        <w:rPr>
          <w:rFonts w:ascii="Arial" w:cs="Arial" w:eastAsia="Arial" w:hAnsi="Arial"/>
          <w:sz w:val="17"/>
          <w:szCs w:val="17"/>
          <w:color w:val="auto"/>
        </w:rPr>
        <w:t>Our amended and restated bylaws provide that, to the fullest extent permitted by law, we will indemnify any officer or director of our company against all damages, claims and liabilities arising out of the fact that the person is or was our director or officer, or served any other enterprise at our request as a director, officer, employee, agent or fiduciary. In addition, our amended and restated certificate of incorporation provide that our directors will not be personally liable to us or our stockholders for monetary damages for breach of fiduciary duty, except as required by applicable law, as in effect from time to time.</w:t>
      </w:r>
    </w:p>
    <w:p>
      <w:pPr>
        <w:spacing w:after="0" w:line="181" w:lineRule="exact"/>
        <w:rPr>
          <w:sz w:val="20"/>
          <w:szCs w:val="20"/>
          <w:color w:val="auto"/>
        </w:rPr>
      </w:pPr>
    </w:p>
    <w:p>
      <w:pPr>
        <w:ind w:left="380" w:right="320"/>
        <w:spacing w:after="0" w:line="266" w:lineRule="auto"/>
        <w:rPr>
          <w:sz w:val="20"/>
          <w:szCs w:val="20"/>
          <w:color w:val="auto"/>
        </w:rPr>
      </w:pPr>
      <w:r>
        <w:rPr>
          <w:rFonts w:ascii="Arial" w:cs="Arial" w:eastAsia="Arial" w:hAnsi="Arial"/>
          <w:sz w:val="17"/>
          <w:szCs w:val="17"/>
          <w:color w:val="auto"/>
        </w:rPr>
        <w:t>We have entered into customary indemnification agreements with our directors and officers. These agreements will require us to indemnify these individuals to the fullest extent permitted under the DGCL against liabilities that may arise by reason of their service to us, and to advance expenses incurred as a result of any proceeding against them as to which they could be indemnified.</w:t>
      </w:r>
    </w:p>
    <w:p>
      <w:pPr>
        <w:spacing w:after="0" w:line="174" w:lineRule="exact"/>
        <w:rPr>
          <w:sz w:val="20"/>
          <w:szCs w:val="20"/>
          <w:color w:val="auto"/>
        </w:rPr>
      </w:pPr>
    </w:p>
    <w:p>
      <w:pPr>
        <w:ind w:left="380" w:right="40"/>
        <w:spacing w:after="0" w:line="279" w:lineRule="auto"/>
        <w:rPr>
          <w:sz w:val="20"/>
          <w:szCs w:val="20"/>
          <w:color w:val="auto"/>
        </w:rPr>
      </w:pPr>
      <w:r>
        <w:rPr>
          <w:rFonts w:ascii="Arial" w:cs="Arial" w:eastAsia="Arial" w:hAnsi="Arial"/>
          <w:sz w:val="17"/>
          <w:szCs w:val="17"/>
          <w:color w:val="auto"/>
        </w:rPr>
        <w:t>There is no pending litigation or proceeding involving any of our directors or officers to which indemnification is being sought, and we are not aware of any pending litigation that may result in claims for indemnification by any director or officer.</w:t>
      </w:r>
    </w:p>
    <w:p>
      <w:pPr>
        <w:spacing w:after="0" w:line="99"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860"/>
          </w:cols>
          <w:pgMar w:left="320" w:top="444" w:right="71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247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5180" cy="24765"/>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ind w:left="3420"/>
        <w:spacing w:after="0"/>
        <w:rPr>
          <w:sz w:val="20"/>
          <w:szCs w:val="20"/>
          <w:color w:val="auto"/>
        </w:rPr>
      </w:pPr>
      <w:r>
        <w:rPr>
          <w:rFonts w:ascii="Arial" w:cs="Arial" w:eastAsia="Arial" w:hAnsi="Arial"/>
          <w:sz w:val="17"/>
          <w:szCs w:val="17"/>
          <w:b w:val="1"/>
          <w:bCs w:val="1"/>
          <w:color w:val="auto"/>
        </w:rPr>
        <w:t>WHERE YOU CAN FIND ADDITIONAL INFORMATION</w:t>
      </w:r>
    </w:p>
    <w:p>
      <w:pPr>
        <w:spacing w:after="0" w:line="223" w:lineRule="exact"/>
        <w:rPr>
          <w:sz w:val="20"/>
          <w:szCs w:val="20"/>
          <w:color w:val="auto"/>
        </w:rPr>
      </w:pPr>
    </w:p>
    <w:p>
      <w:pPr>
        <w:ind w:left="380" w:right="60"/>
        <w:spacing w:after="0" w:line="275" w:lineRule="auto"/>
        <w:rPr>
          <w:sz w:val="20"/>
          <w:szCs w:val="20"/>
          <w:color w:val="auto"/>
        </w:rPr>
      </w:pPr>
      <w:r>
        <w:rPr>
          <w:rFonts w:ascii="Arial" w:cs="Arial" w:eastAsia="Arial" w:hAnsi="Arial"/>
          <w:sz w:val="16"/>
          <w:szCs w:val="16"/>
          <w:color w:val="auto"/>
        </w:rPr>
        <w:t>We are subject to the informational reporting requirements of the Exchange Act of 1934, as amended (the “Exchange Act”), and are required to file reports, proxy statements and other information with the SEC. All such filings are available at the SEC Public Reference Room at 100 F Street, N.E., Washington, D.C. 20549. Please call the SEC at 1-800-SEC-0330 for further information on the Public Reference Room. Our filings are also available free of charge at the website of the SEC at www.sec.gov. A copy of any document incorporated by reference in the registration statement of which this reoffer prospectus forms a part but which is not delivered with this reoffer prospectus will be provided by us without charge to any person to whom this reoffer prospectus has been delivered upon oral or written request to that person. Requests for documents should be directed to the General Counsel, MediaAlpha, Inc., 700 South Flower Street, Suite 640, Los Angeles, California 90017.</w:t>
      </w:r>
    </w:p>
    <w:p>
      <w:pPr>
        <w:spacing w:after="0" w:line="373" w:lineRule="exact"/>
        <w:rPr>
          <w:sz w:val="20"/>
          <w:szCs w:val="20"/>
          <w:color w:val="auto"/>
        </w:rPr>
      </w:pPr>
    </w:p>
    <w:p>
      <w:pPr>
        <w:ind w:left="3480"/>
        <w:spacing w:after="0"/>
        <w:rPr>
          <w:sz w:val="20"/>
          <w:szCs w:val="20"/>
          <w:color w:val="auto"/>
        </w:rPr>
      </w:pPr>
      <w:r>
        <w:rPr>
          <w:rFonts w:ascii="Arial" w:cs="Arial" w:eastAsia="Arial" w:hAnsi="Arial"/>
          <w:sz w:val="17"/>
          <w:szCs w:val="17"/>
          <w:b w:val="1"/>
          <w:bCs w:val="1"/>
          <w:color w:val="auto"/>
        </w:rPr>
        <w:t>INCORPORATION OF DOCUMENTS BY REFERENCE</w:t>
      </w:r>
    </w:p>
    <w:p>
      <w:pPr>
        <w:spacing w:after="0" w:line="223" w:lineRule="exact"/>
        <w:rPr>
          <w:sz w:val="20"/>
          <w:szCs w:val="20"/>
          <w:color w:val="auto"/>
        </w:rPr>
      </w:pPr>
    </w:p>
    <w:p>
      <w:pPr>
        <w:ind w:left="380" w:right="560"/>
        <w:spacing w:after="0" w:line="311" w:lineRule="auto"/>
        <w:rPr>
          <w:sz w:val="20"/>
          <w:szCs w:val="20"/>
          <w:color w:val="auto"/>
        </w:rPr>
      </w:pPr>
      <w:r>
        <w:rPr>
          <w:rFonts w:ascii="Arial" w:cs="Arial" w:eastAsia="Arial" w:hAnsi="Arial"/>
          <w:sz w:val="16"/>
          <w:szCs w:val="16"/>
          <w:color w:val="auto"/>
        </w:rPr>
        <w:t>The following documents, which have been filed with the Commission by the Company pursuant to the Securities Act and the Exchange Act, as applicable, are hereby incorporated by reference in, and shall be deemed to be a part of, this Registration Statement:</w:t>
      </w:r>
    </w:p>
    <w:p>
      <w:pPr>
        <w:spacing w:after="0" w:line="51" w:lineRule="exact"/>
        <w:rPr>
          <w:sz w:val="20"/>
          <w:szCs w:val="20"/>
          <w:color w:val="auto"/>
        </w:rPr>
      </w:pPr>
    </w:p>
    <w:p>
      <w:pPr>
        <w:ind w:left="1300" w:right="60" w:hanging="518"/>
        <w:spacing w:after="0" w:line="279" w:lineRule="auto"/>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the Company’s final prospectus filed with the Commission pursuant to Rule </w:t>
      </w:r>
      <w:hyperlink r:id="rId40">
        <w:r>
          <w:rPr>
            <w:rFonts w:ascii="Arial" w:cs="Arial" w:eastAsia="Arial" w:hAnsi="Arial"/>
            <w:sz w:val="17"/>
            <w:szCs w:val="17"/>
            <w:u w:val="single" w:color="auto"/>
            <w:color w:val="0000EE"/>
          </w:rPr>
          <w:t>424(b)</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promulgated under the Securities Act on October 29, 2020, in connection with the Company’s registration statement on </w:t>
      </w:r>
      <w:hyperlink r:id="rId41">
        <w:r>
          <w:rPr>
            <w:rFonts w:ascii="Arial" w:cs="Arial" w:eastAsia="Arial" w:hAnsi="Arial"/>
            <w:sz w:val="17"/>
            <w:szCs w:val="17"/>
            <w:u w:val="single" w:color="auto"/>
            <w:color w:val="0000EE"/>
          </w:rPr>
          <w:t>Form S-1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 No. 333-249326), as amended;</w:t>
      </w:r>
    </w:p>
    <w:p>
      <w:pPr>
        <w:spacing w:after="0" w:line="73" w:lineRule="exact"/>
        <w:rPr>
          <w:rFonts w:ascii="Arial" w:cs="Arial" w:eastAsia="Arial" w:hAnsi="Arial"/>
          <w:sz w:val="17"/>
          <w:szCs w:val="17"/>
          <w:color w:val="auto"/>
        </w:rPr>
      </w:pPr>
    </w:p>
    <w:p>
      <w:pPr>
        <w:ind w:left="1300" w:hanging="518"/>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description of the Company’s Class A common stock contained in the Company’s registration statement on Form S-1 (File</w:t>
      </w:r>
    </w:p>
    <w:p>
      <w:pPr>
        <w:spacing w:after="0" w:line="21" w:lineRule="exact"/>
        <w:rPr>
          <w:rFonts w:ascii="Arial" w:cs="Arial" w:eastAsia="Arial" w:hAnsi="Arial"/>
          <w:sz w:val="17"/>
          <w:szCs w:val="17"/>
          <w:color w:val="auto"/>
        </w:rPr>
      </w:pPr>
    </w:p>
    <w:p>
      <w:pPr>
        <w:ind w:left="1300" w:right="160"/>
        <w:spacing w:after="0" w:line="265" w:lineRule="auto"/>
        <w:rPr>
          <w:rFonts w:ascii="Arial" w:cs="Arial" w:eastAsia="Arial" w:hAnsi="Arial"/>
          <w:sz w:val="17"/>
          <w:szCs w:val="17"/>
          <w:color w:val="auto"/>
        </w:rPr>
      </w:pPr>
      <w:r>
        <w:rPr>
          <w:rFonts w:ascii="Arial" w:cs="Arial" w:eastAsia="Arial" w:hAnsi="Arial"/>
          <w:sz w:val="17"/>
          <w:szCs w:val="17"/>
          <w:color w:val="auto"/>
        </w:rPr>
        <w:t xml:space="preserve">No. 333-249326), as amended on </w:t>
      </w:r>
      <w:hyperlink r:id="rId42">
        <w:r>
          <w:rPr>
            <w:rFonts w:ascii="Arial" w:cs="Arial" w:eastAsia="Arial" w:hAnsi="Arial"/>
            <w:sz w:val="17"/>
            <w:szCs w:val="17"/>
            <w:u w:val="single" w:color="auto"/>
            <w:color w:val="0000EE"/>
          </w:rPr>
          <w:t>October 20, 2020</w:t>
        </w:r>
      </w:hyperlink>
      <w:r>
        <w:rPr>
          <w:rFonts w:ascii="Arial" w:cs="Arial" w:eastAsia="Arial" w:hAnsi="Arial"/>
          <w:sz w:val="17"/>
          <w:szCs w:val="17"/>
          <w:color w:val="auto"/>
        </w:rPr>
        <w:t xml:space="preserve">, </w:t>
      </w:r>
      <w:hyperlink r:id="rId43">
        <w:r>
          <w:rPr>
            <w:rFonts w:ascii="Arial" w:cs="Arial" w:eastAsia="Arial" w:hAnsi="Arial"/>
            <w:sz w:val="17"/>
            <w:szCs w:val="17"/>
            <w:u w:val="single" w:color="auto"/>
            <w:color w:val="0000EE"/>
          </w:rPr>
          <w:t>October 21, 2020</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r:id="rId44">
        <w:r>
          <w:rPr>
            <w:rFonts w:ascii="Arial" w:cs="Arial" w:eastAsia="Arial" w:hAnsi="Arial"/>
            <w:sz w:val="17"/>
            <w:szCs w:val="17"/>
            <w:u w:val="single" w:color="auto"/>
            <w:color w:val="0000EE"/>
          </w:rPr>
          <w:t>October 23, 2020</w:t>
        </w:r>
      </w:hyperlink>
      <w:r>
        <w:rPr>
          <w:rFonts w:ascii="Arial" w:cs="Arial" w:eastAsia="Arial" w:hAnsi="Arial"/>
          <w:sz w:val="17"/>
          <w:szCs w:val="17"/>
          <w:color w:val="auto"/>
        </w:rPr>
        <w:t>, including any amendments or reports filed for the purpose of updating such description.</w:t>
      </w:r>
    </w:p>
    <w:p>
      <w:pPr>
        <w:spacing w:after="0" w:line="176" w:lineRule="exact"/>
        <w:rPr>
          <w:rFonts w:ascii="Arial" w:cs="Arial" w:eastAsia="Arial" w:hAnsi="Arial"/>
          <w:sz w:val="17"/>
          <w:szCs w:val="17"/>
          <w:color w:val="auto"/>
        </w:rPr>
      </w:pPr>
    </w:p>
    <w:p>
      <w:pPr>
        <w:ind w:left="380" w:right="40"/>
        <w:spacing w:after="0" w:line="283" w:lineRule="auto"/>
        <w:rPr>
          <w:sz w:val="20"/>
          <w:szCs w:val="20"/>
          <w:color w:val="auto"/>
        </w:rPr>
      </w:pPr>
      <w:r>
        <w:rPr>
          <w:rFonts w:ascii="Arial" w:cs="Arial" w:eastAsia="Arial" w:hAnsi="Arial"/>
          <w:sz w:val="16"/>
          <w:szCs w:val="16"/>
          <w:color w:val="auto"/>
        </w:rPr>
        <w:t>All documents, reports or definitive proxy or information statements subsequently filed by the Company pursuant to Sections 13(a), 13(c), 14 and 15(d) of the Exchange Act, subsequent to the date of this Registration Statement and prior to the filing of a post-effective amendment to this Registration Statement which indicates that all securities offered hereby have been sold or which deregisters all such securities then remaining unsold, shall be deemed to be incorporated by reference herein and to be a part hereof from the date of filing of such documents.</w:t>
      </w:r>
    </w:p>
    <w:p>
      <w:pPr>
        <w:spacing w:after="0" w:line="162" w:lineRule="exact"/>
        <w:rPr>
          <w:rFonts w:ascii="Arial" w:cs="Arial" w:eastAsia="Arial" w:hAnsi="Arial"/>
          <w:sz w:val="17"/>
          <w:szCs w:val="17"/>
          <w:color w:val="auto"/>
        </w:rPr>
      </w:pPr>
    </w:p>
    <w:p>
      <w:pPr>
        <w:ind w:left="380"/>
        <w:spacing w:after="0" w:line="283" w:lineRule="auto"/>
        <w:rPr>
          <w:sz w:val="20"/>
          <w:szCs w:val="20"/>
          <w:color w:val="auto"/>
        </w:rPr>
      </w:pPr>
      <w:r>
        <w:rPr>
          <w:rFonts w:ascii="Arial" w:cs="Arial" w:eastAsia="Arial" w:hAnsi="Arial"/>
          <w:sz w:val="16"/>
          <w:szCs w:val="16"/>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162" w:lineRule="exact"/>
        <w:rPr>
          <w:rFonts w:ascii="Arial" w:cs="Arial" w:eastAsia="Arial" w:hAnsi="Arial"/>
          <w:sz w:val="17"/>
          <w:szCs w:val="17"/>
          <w:color w:val="auto"/>
        </w:rPr>
      </w:pPr>
    </w:p>
    <w:p>
      <w:pPr>
        <w:ind w:left="380"/>
        <w:spacing w:after="0" w:line="266" w:lineRule="auto"/>
        <w:rPr>
          <w:sz w:val="20"/>
          <w:szCs w:val="20"/>
          <w:color w:val="auto"/>
        </w:rPr>
      </w:pPr>
      <w:r>
        <w:rPr>
          <w:rFonts w:ascii="Arial" w:cs="Arial" w:eastAsia="Arial" w:hAnsi="Arial"/>
          <w:sz w:val="17"/>
          <w:szCs w:val="17"/>
          <w:color w:val="auto"/>
        </w:rPr>
        <w:t>This Registration Statement does not, however, incorporate by reference any documents or portions thereof that are not deemed “filed” with the Commission, including any information furnished pursuant to Item 2.02 or Item 7.01 of the Company’s Current Reports on Form 8-K unless, and except to the extent, specified in such Current Reports.</w:t>
      </w:r>
    </w:p>
    <w:p>
      <w:pPr>
        <w:spacing w:after="0" w:line="110" w:lineRule="exact"/>
        <w:rPr>
          <w:rFonts w:ascii="Arial" w:cs="Arial" w:eastAsia="Arial" w:hAnsi="Arial"/>
          <w:sz w:val="17"/>
          <w:szCs w:val="17"/>
          <w:color w:val="auto"/>
        </w:rPr>
      </w:pPr>
    </w:p>
    <w:p>
      <w:pPr>
        <w:jc w:val="center"/>
        <w:ind w:right="-39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840"/>
          </w:cols>
          <w:pgMar w:left="320" w:top="444" w:right="7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247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55180" cy="24765"/>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5020"/>
        <w:spacing w:after="0"/>
        <w:rPr>
          <w:sz w:val="20"/>
          <w:szCs w:val="20"/>
          <w:color w:val="auto"/>
        </w:rPr>
      </w:pPr>
      <w:r>
        <w:rPr>
          <w:rFonts w:ascii="Arial" w:cs="Arial" w:eastAsia="Arial" w:hAnsi="Arial"/>
          <w:sz w:val="17"/>
          <w:szCs w:val="17"/>
          <w:b w:val="1"/>
          <w:bCs w:val="1"/>
          <w:i w:val="1"/>
          <w:iCs w:val="1"/>
          <w:color w:val="auto"/>
        </w:rPr>
        <w:t>1,999,439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i w:val="1"/>
          <w:iCs w:val="1"/>
          <w:color w:val="auto"/>
        </w:rPr>
        <w:t>MediaAlpha, Inc.</w:t>
      </w:r>
    </w:p>
    <w:p>
      <w:pPr>
        <w:spacing w:after="0" w:line="217" w:lineRule="exact"/>
        <w:rPr>
          <w:sz w:val="20"/>
          <w:szCs w:val="20"/>
          <w:color w:val="auto"/>
        </w:rPr>
      </w:pPr>
    </w:p>
    <w:p>
      <w:pPr>
        <w:jc w:val="center"/>
        <w:ind w:right="-1100"/>
        <w:spacing w:after="0"/>
        <w:rPr>
          <w:sz w:val="20"/>
          <w:szCs w:val="20"/>
          <w:color w:val="auto"/>
        </w:rPr>
      </w:pPr>
      <w:r>
        <w:rPr>
          <w:rFonts w:ascii="Arial" w:cs="Arial" w:eastAsia="Arial" w:hAnsi="Arial"/>
          <w:sz w:val="15"/>
          <w:szCs w:val="15"/>
          <w:i w:val="1"/>
          <w:iCs w:val="1"/>
          <w:color w:val="auto"/>
        </w:rPr>
        <w:t>Class A Common Stock, Par Value $0.01 Per Share</w:t>
      </w:r>
    </w:p>
    <w:p>
      <w:pPr>
        <w:spacing w:after="0" w:line="240" w:lineRule="exact"/>
        <w:rPr>
          <w:sz w:val="20"/>
          <w:szCs w:val="20"/>
          <w:color w:val="auto"/>
        </w:rPr>
      </w:pPr>
    </w:p>
    <w:p>
      <w:pPr>
        <w:ind w:left="4700"/>
        <w:spacing w:after="0"/>
        <w:rPr>
          <w:sz w:val="20"/>
          <w:szCs w:val="20"/>
          <w:color w:val="auto"/>
        </w:rPr>
      </w:pPr>
      <w:r>
        <w:rPr>
          <w:rFonts w:ascii="Arial" w:cs="Arial" w:eastAsia="Arial" w:hAnsi="Arial"/>
          <w:sz w:val="17"/>
          <w:szCs w:val="17"/>
          <w:i w:val="1"/>
          <w:iCs w:val="1"/>
          <w:color w:val="auto"/>
        </w:rPr>
        <w:t>REOFFER PROSPECTUS</w:t>
      </w:r>
    </w:p>
    <w:p>
      <w:pPr>
        <w:spacing w:after="0" w:line="200" w:lineRule="exact"/>
        <w:rPr>
          <w:sz w:val="20"/>
          <w:szCs w:val="20"/>
          <w:color w:val="auto"/>
        </w:rPr>
      </w:pPr>
    </w:p>
    <w:p>
      <w:pPr>
        <w:spacing w:after="0" w:line="30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139"/>
          </w:cols>
          <w:pgMar w:left="320" w:top="444" w:right="1440"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247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55180" cy="24765"/>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PART II</w:t>
      </w:r>
    </w:p>
    <w:p>
      <w:pPr>
        <w:spacing w:after="0" w:line="217" w:lineRule="exact"/>
        <w:rPr>
          <w:sz w:val="20"/>
          <w:szCs w:val="20"/>
          <w:color w:val="auto"/>
        </w:rPr>
      </w:pPr>
    </w:p>
    <w:p>
      <w:pPr>
        <w:ind w:left="2960"/>
        <w:spacing w:after="0"/>
        <w:rPr>
          <w:sz w:val="20"/>
          <w:szCs w:val="20"/>
          <w:color w:val="auto"/>
        </w:rPr>
      </w:pPr>
      <w:r>
        <w:rPr>
          <w:rFonts w:ascii="Arial" w:cs="Arial" w:eastAsia="Arial" w:hAnsi="Arial"/>
          <w:sz w:val="17"/>
          <w:szCs w:val="17"/>
          <w:b w:val="1"/>
          <w:bCs w:val="1"/>
          <w:color w:val="auto"/>
        </w:rPr>
        <w:t>INFORMATION REQUIRED IN THE REGISTRATION STATEMENT</w:t>
      </w:r>
    </w:p>
    <w:p>
      <w:pPr>
        <w:spacing w:after="0" w:line="217"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Item 3. Incorporation of Documents by Reference.</w:t>
      </w:r>
    </w:p>
    <w:p>
      <w:pPr>
        <w:spacing w:after="0" w:line="120" w:lineRule="exact"/>
        <w:rPr>
          <w:sz w:val="20"/>
          <w:szCs w:val="20"/>
          <w:color w:val="auto"/>
        </w:rPr>
      </w:pPr>
    </w:p>
    <w:p>
      <w:pPr>
        <w:ind w:left="380" w:right="600"/>
        <w:spacing w:after="0" w:line="311" w:lineRule="auto"/>
        <w:rPr>
          <w:sz w:val="20"/>
          <w:szCs w:val="20"/>
          <w:color w:val="auto"/>
        </w:rPr>
      </w:pPr>
      <w:r>
        <w:rPr>
          <w:rFonts w:ascii="Arial" w:cs="Arial" w:eastAsia="Arial" w:hAnsi="Arial"/>
          <w:sz w:val="16"/>
          <w:szCs w:val="16"/>
          <w:color w:val="auto"/>
        </w:rPr>
        <w:t>The following documents, which have been filed with the Commission by the Company pursuant to the Securities Act and the Exchange Act, as applicable, are hereby incorporated by reference in, and shall be deemed to be a part of, this Registration Statement:</w:t>
      </w:r>
    </w:p>
    <w:p>
      <w:pPr>
        <w:spacing w:after="0" w:line="51" w:lineRule="exact"/>
        <w:rPr>
          <w:sz w:val="20"/>
          <w:szCs w:val="20"/>
          <w:color w:val="auto"/>
        </w:rPr>
      </w:pPr>
    </w:p>
    <w:p>
      <w:pPr>
        <w:ind w:left="1300" w:right="200" w:hanging="518"/>
        <w:spacing w:after="0" w:line="311"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Company’s final prospectus filed with the Commission pursuant to Rule 424(b) promulgated under the Securities Act on October 29, 2020, in connection with the Company’s registration statement on Form S-1 (File No. 333-249326), as amended;</w:t>
      </w:r>
    </w:p>
    <w:p>
      <w:pPr>
        <w:spacing w:after="0" w:line="51" w:lineRule="exact"/>
        <w:rPr>
          <w:rFonts w:ascii="Arial" w:cs="Arial" w:eastAsia="Arial" w:hAnsi="Arial"/>
          <w:sz w:val="16"/>
          <w:szCs w:val="16"/>
          <w:color w:val="auto"/>
        </w:rPr>
      </w:pPr>
    </w:p>
    <w:p>
      <w:pPr>
        <w:ind w:left="1300" w:hanging="518"/>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description of the Company’s Class A common stock contained in the Company’s registration statement on Form S-1 (File</w:t>
      </w:r>
    </w:p>
    <w:p>
      <w:pPr>
        <w:spacing w:after="0" w:line="21" w:lineRule="exact"/>
        <w:rPr>
          <w:rFonts w:ascii="Arial" w:cs="Arial" w:eastAsia="Arial" w:hAnsi="Arial"/>
          <w:sz w:val="17"/>
          <w:szCs w:val="17"/>
          <w:color w:val="auto"/>
        </w:rPr>
      </w:pPr>
    </w:p>
    <w:p>
      <w:pPr>
        <w:ind w:left="1300"/>
        <w:spacing w:after="0" w:line="265" w:lineRule="auto"/>
        <w:rPr>
          <w:rFonts w:ascii="Arial" w:cs="Arial" w:eastAsia="Arial" w:hAnsi="Arial"/>
          <w:sz w:val="17"/>
          <w:szCs w:val="17"/>
          <w:color w:val="auto"/>
        </w:rPr>
      </w:pPr>
      <w:r>
        <w:rPr>
          <w:rFonts w:ascii="Arial" w:cs="Arial" w:eastAsia="Arial" w:hAnsi="Arial"/>
          <w:sz w:val="17"/>
          <w:szCs w:val="17"/>
          <w:color w:val="auto"/>
        </w:rPr>
        <w:t>No. 333-249326), as amended on October 20, 2020, October 21, 2020 and October 23, 2020, including any amendments or reports filed for the purpose of updating such description.</w:t>
      </w:r>
    </w:p>
    <w:p>
      <w:pPr>
        <w:spacing w:after="0" w:line="176" w:lineRule="exact"/>
        <w:rPr>
          <w:sz w:val="20"/>
          <w:szCs w:val="20"/>
          <w:color w:val="auto"/>
        </w:rPr>
      </w:pPr>
    </w:p>
    <w:p>
      <w:pPr>
        <w:ind w:left="380" w:right="80"/>
        <w:spacing w:after="0" w:line="283" w:lineRule="auto"/>
        <w:rPr>
          <w:sz w:val="20"/>
          <w:szCs w:val="20"/>
          <w:color w:val="auto"/>
        </w:rPr>
      </w:pPr>
      <w:r>
        <w:rPr>
          <w:rFonts w:ascii="Arial" w:cs="Arial" w:eastAsia="Arial" w:hAnsi="Arial"/>
          <w:sz w:val="16"/>
          <w:szCs w:val="16"/>
          <w:color w:val="auto"/>
        </w:rPr>
        <w:t>All documents, reports or definitive proxy or information statements subsequently filed by the Company pursuant to Sections 13(a), 13(c), 14 and 15(d) of the Exchange Act, subsequent to the date of this Registration Statement and prior to the filing of a post-effective amendment to this Registration Statement which indicates that all securities offered hereby have been sold or which deregisters all such securities then remaining unsold, shall be deemed to be incorporated by reference herein and to be a part hereof from the date of filing of such documents.</w:t>
      </w:r>
    </w:p>
    <w:p>
      <w:pPr>
        <w:spacing w:after="0" w:line="162" w:lineRule="exact"/>
        <w:rPr>
          <w:sz w:val="20"/>
          <w:szCs w:val="20"/>
          <w:color w:val="auto"/>
        </w:rPr>
      </w:pPr>
    </w:p>
    <w:p>
      <w:pPr>
        <w:ind w:left="380" w:right="40"/>
        <w:spacing w:after="0" w:line="283" w:lineRule="auto"/>
        <w:rPr>
          <w:sz w:val="20"/>
          <w:szCs w:val="20"/>
          <w:color w:val="auto"/>
        </w:rPr>
      </w:pPr>
      <w:r>
        <w:rPr>
          <w:rFonts w:ascii="Arial" w:cs="Arial" w:eastAsia="Arial" w:hAnsi="Arial"/>
          <w:sz w:val="16"/>
          <w:szCs w:val="16"/>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162" w:lineRule="exact"/>
        <w:rPr>
          <w:sz w:val="20"/>
          <w:szCs w:val="20"/>
          <w:color w:val="auto"/>
        </w:rPr>
      </w:pPr>
    </w:p>
    <w:p>
      <w:pPr>
        <w:ind w:left="380" w:right="40"/>
        <w:spacing w:after="0" w:line="266" w:lineRule="auto"/>
        <w:rPr>
          <w:sz w:val="20"/>
          <w:szCs w:val="20"/>
          <w:color w:val="auto"/>
        </w:rPr>
      </w:pPr>
      <w:r>
        <w:rPr>
          <w:rFonts w:ascii="Arial" w:cs="Arial" w:eastAsia="Arial" w:hAnsi="Arial"/>
          <w:sz w:val="17"/>
          <w:szCs w:val="17"/>
          <w:color w:val="auto"/>
        </w:rPr>
        <w:t>This Registration Statement does not, however, incorporate by reference any documents or portions thereof that are not deemed “filed” with the Commission, including any information furnished pursuant to Item 2.02 or Item 7.01 of the Company’s Current Reports on Form 8-K unless, and except to the extent, specified in such Current Reports.</w:t>
      </w:r>
    </w:p>
    <w:p>
      <w:pPr>
        <w:spacing w:after="0" w:line="271"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Item 4. Description of Securities.</w:t>
      </w:r>
    </w:p>
    <w:p>
      <w:pPr>
        <w:spacing w:after="0" w:line="12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1">
            <w:col w:w="10880"/>
          </w:cols>
          <w:pgMar w:left="320" w:top="444" w:right="69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247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55180" cy="24765"/>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Item 5. Interests of Named Experts and Counsel.</w:t>
      </w:r>
    </w:p>
    <w:p>
      <w:pPr>
        <w:spacing w:after="0" w:line="12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Not applicable.</w:t>
      </w:r>
    </w:p>
    <w:p>
      <w:pPr>
        <w:spacing w:after="0" w:line="314"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Item 6. Indemnification of Directors and Officers.</w:t>
      </w:r>
    </w:p>
    <w:p>
      <w:pPr>
        <w:spacing w:after="0" w:line="120" w:lineRule="exact"/>
        <w:rPr>
          <w:sz w:val="20"/>
          <w:szCs w:val="20"/>
          <w:color w:val="auto"/>
        </w:rPr>
      </w:pPr>
    </w:p>
    <w:p>
      <w:pPr>
        <w:ind w:left="380"/>
        <w:spacing w:after="0" w:line="257" w:lineRule="auto"/>
        <w:rPr>
          <w:sz w:val="20"/>
          <w:szCs w:val="20"/>
          <w:color w:val="auto"/>
        </w:rPr>
      </w:pPr>
      <w:r>
        <w:rPr>
          <w:rFonts w:ascii="Arial" w:cs="Arial" w:eastAsia="Arial" w:hAnsi="Arial"/>
          <w:sz w:val="17"/>
          <w:szCs w:val="17"/>
          <w:color w:val="auto"/>
        </w:rPr>
        <w:t>Section 145 of the General Corporation Law of the State of Delaware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DGCL provides that Section 145 is not exclusive of other rights to which those seeking indemnification may be entitled under any bylaw, agreement, vote of stockholders or disinterested directors or otherwise. The Company’s amended and restated certificate of incorporation provides for indemnification by the Company of its directors and officers to the fullest extent permitted by the DGCL.</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Section 102(b)(7) of the DGCL permits a corporation to provide in its certificate of incorporation that a director of the corporation shall not be</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personally liable to the corporation or its stockholders for monetary damages for breach of fiduciary duty as a director, except for liability (a) for any</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breach of the director’s duty of loyalty to the corporation or its stockholders, (b) for acts or omissions not in good faith or which involve intentional</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misconduct or a knowing violation of law, (c) for unlawful payments of dividends or unlawful stock repurchases or redemptions as provided in</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Section 174 of the DGCL or (d) for any transaction from which the director derived an improper personal benefit. The Company’s amended and restated</w:t>
      </w:r>
    </w:p>
    <w:p>
      <w:pPr>
        <w:spacing w:after="0" w:line="3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certificate of incorporation provides for such limitation of liability.</w:t>
      </w:r>
    </w:p>
    <w:p>
      <w:pPr>
        <w:spacing w:after="0" w:line="206" w:lineRule="exact"/>
        <w:rPr>
          <w:sz w:val="20"/>
          <w:szCs w:val="20"/>
          <w:color w:val="auto"/>
        </w:rPr>
      </w:pPr>
    </w:p>
    <w:p>
      <w:pPr>
        <w:jc w:val="both"/>
        <w:ind w:left="380" w:right="40"/>
        <w:spacing w:after="0" w:line="266" w:lineRule="auto"/>
        <w:rPr>
          <w:sz w:val="20"/>
          <w:szCs w:val="20"/>
          <w:color w:val="auto"/>
        </w:rPr>
      </w:pPr>
      <w:r>
        <w:rPr>
          <w:rFonts w:ascii="Arial" w:cs="Arial" w:eastAsia="Arial" w:hAnsi="Arial"/>
          <w:sz w:val="17"/>
          <w:szCs w:val="17"/>
          <w:color w:val="auto"/>
        </w:rPr>
        <w:t>The Company maintains standard policies of insurance under which coverage is provided (a) to its directors and officers against loss arising from claims made by reason of breach of duty or other wrongful act, and (b) to the Company with respect to payments which may be made by the Company to such officers and directors pursuant to the above indemnification provision or otherwise as a matter of law.</w:t>
      </w:r>
    </w:p>
    <w:p>
      <w:pPr>
        <w:spacing w:after="0" w:line="174" w:lineRule="exact"/>
        <w:rPr>
          <w:sz w:val="20"/>
          <w:szCs w:val="20"/>
          <w:color w:val="auto"/>
        </w:rPr>
      </w:pPr>
    </w:p>
    <w:p>
      <w:pPr>
        <w:ind w:left="380" w:right="1080"/>
        <w:spacing w:after="0" w:line="279" w:lineRule="auto"/>
        <w:rPr>
          <w:sz w:val="20"/>
          <w:szCs w:val="20"/>
          <w:color w:val="auto"/>
        </w:rPr>
      </w:pPr>
      <w:r>
        <w:rPr>
          <w:rFonts w:ascii="Arial" w:cs="Arial" w:eastAsia="Arial" w:hAnsi="Arial"/>
          <w:sz w:val="17"/>
          <w:szCs w:val="17"/>
          <w:color w:val="auto"/>
        </w:rPr>
        <w:t>In addition, the Underwriting Agreement, filed as Exhibit 1.1 on Form 8-K (file No. 001-39671) filed on November 2, 2020, provides for indemnification of directors and officers of the Registrant by the underwriters against certain liabilities.</w:t>
      </w:r>
    </w:p>
    <w:p>
      <w:pPr>
        <w:spacing w:after="0" w:line="164" w:lineRule="exact"/>
        <w:rPr>
          <w:sz w:val="20"/>
          <w:szCs w:val="20"/>
          <w:color w:val="auto"/>
        </w:rPr>
      </w:pPr>
    </w:p>
    <w:p>
      <w:pPr>
        <w:ind w:left="380" w:right="180"/>
        <w:spacing w:after="0" w:line="266" w:lineRule="auto"/>
        <w:rPr>
          <w:sz w:val="20"/>
          <w:szCs w:val="20"/>
          <w:color w:val="auto"/>
        </w:rPr>
      </w:pPr>
      <w:r>
        <w:rPr>
          <w:rFonts w:ascii="Arial" w:cs="Arial" w:eastAsia="Arial" w:hAnsi="Arial"/>
          <w:sz w:val="17"/>
          <w:szCs w:val="17"/>
          <w:color w:val="auto"/>
        </w:rPr>
        <w:t>The Company entered into customary indemnification agreements with its directors and officers. These agreements require the Company to indemnify these individuals to the fullest extent permitted under the DGCL against liabilities that may arise by reason of their service to the Company, and to advance expenses incurred as a result of any proceeding against them as to which they could be indemnified.</w:t>
      </w:r>
    </w:p>
    <w:p>
      <w:pPr>
        <w:sectPr>
          <w:pgSz w:w="11900" w:h="16838" w:orient="portrait"/>
          <w:cols w:equalWidth="0" w:num="1">
            <w:col w:w="10880"/>
          </w:cols>
          <w:pgMar w:left="320" w:top="444" w:right="69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247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55180" cy="24765"/>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Item 7. Exemption from Registration Claimed.</w:t>
      </w:r>
    </w:p>
    <w:p>
      <w:pPr>
        <w:spacing w:after="0" w:line="120" w:lineRule="exact"/>
        <w:rPr>
          <w:sz w:val="20"/>
          <w:szCs w:val="20"/>
          <w:color w:val="auto"/>
        </w:rPr>
      </w:pPr>
    </w:p>
    <w:p>
      <w:pPr>
        <w:ind w:left="380"/>
        <w:spacing w:after="0" w:line="258" w:lineRule="auto"/>
        <w:rPr>
          <w:sz w:val="20"/>
          <w:szCs w:val="20"/>
          <w:color w:val="auto"/>
        </w:rPr>
      </w:pPr>
      <w:r>
        <w:rPr>
          <w:rFonts w:ascii="Arial" w:cs="Arial" w:eastAsia="Arial" w:hAnsi="Arial"/>
          <w:sz w:val="17"/>
          <w:szCs w:val="17"/>
          <w:color w:val="auto"/>
        </w:rPr>
        <w:t>The shares being reoffered and resold pursuant to the reoffer prospectus included herein were issued pursuant to the Restricted Stock Unit Plan and were deemed to be exempt from registration under the Securities Act in reliance on Section 4(a)(2) of the Securities Act and/or Rule 701 promulgated thereunder, as transactions by an issuer not involving a public offering. The recipients of securities in each such transaction represented their intention to acquire the securities for investment only and not with a view to or for sale in connection with any distribution thereof and appropriate legends were affixed to instruments issued in such transactions. All recipients had adequate access, through their relationship with the Registrant, to information about the Registrant.</w:t>
      </w:r>
    </w:p>
    <w:p>
      <w:pPr>
        <w:spacing w:after="0" w:line="278"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Item 8. Exhibits.</w:t>
      </w:r>
    </w:p>
    <w:p>
      <w:pPr>
        <w:spacing w:after="0" w:line="132" w:lineRule="exact"/>
        <w:rPr>
          <w:sz w:val="20"/>
          <w:szCs w:val="20"/>
          <w:color w:val="auto"/>
        </w:rPr>
      </w:pPr>
    </w:p>
    <w:p>
      <w:pPr>
        <w:ind w:left="1060" w:right="700" w:hanging="682"/>
        <w:spacing w:after="0" w:line="279" w:lineRule="auto"/>
        <w:tabs>
          <w:tab w:leader="none" w:pos="1040" w:val="left"/>
        </w:tabs>
        <w:rPr>
          <w:rFonts w:ascii="Arial" w:cs="Arial" w:eastAsia="Arial" w:hAnsi="Arial"/>
          <w:sz w:val="17"/>
          <w:szCs w:val="17"/>
          <w:u w:val="single" w:color="auto"/>
          <w:color w:val="0000EE"/>
        </w:rPr>
      </w:pPr>
      <w:r>
        <w:rPr>
          <w:rFonts w:ascii="Arial" w:cs="Arial" w:eastAsia="Arial" w:hAnsi="Arial"/>
          <w:sz w:val="17"/>
          <w:szCs w:val="17"/>
          <w:color w:val="auto"/>
        </w:rPr>
        <w:t>3.1</w:t>
      </w:r>
      <w:r>
        <w:rPr>
          <w:sz w:val="20"/>
          <w:szCs w:val="20"/>
          <w:color w:val="auto"/>
        </w:rPr>
        <w:tab/>
      </w:r>
      <w:hyperlink r:id="rId49">
        <w:r>
          <w:rPr>
            <w:rFonts w:ascii="Arial" w:cs="Arial" w:eastAsia="Arial" w:hAnsi="Arial"/>
            <w:sz w:val="17"/>
            <w:szCs w:val="17"/>
            <w:u w:val="single" w:color="auto"/>
            <w:color w:val="0000EE"/>
          </w:rPr>
          <w:t>Amended and Restated Certificate of Incorporation of MediaAlpha, Inc. (incorporated by reference to Exhibit 3.1 on Form 8-K (File</w:t>
        </w:r>
      </w:hyperlink>
      <w:r>
        <w:rPr>
          <w:rFonts w:ascii="Arial" w:cs="Arial" w:eastAsia="Arial" w:hAnsi="Arial"/>
          <w:sz w:val="17"/>
          <w:szCs w:val="17"/>
          <w:u w:val="single" w:color="auto"/>
          <w:color w:val="0000EE"/>
        </w:rPr>
        <w:t xml:space="preserve"> </w:t>
      </w:r>
      <w:hyperlink r:id="rId49">
        <w:r>
          <w:rPr>
            <w:rFonts w:ascii="Arial" w:cs="Arial" w:eastAsia="Arial" w:hAnsi="Arial"/>
            <w:sz w:val="17"/>
            <w:szCs w:val="17"/>
            <w:u w:val="single" w:color="auto"/>
            <w:color w:val="0000EE"/>
          </w:rPr>
          <w:t>No. 001-39671) filed on November 2, 2020).</w:t>
        </w:r>
      </w:hyperlink>
    </w:p>
    <w:p>
      <w:pPr>
        <w:spacing w:after="0" w:line="61" w:lineRule="exact"/>
        <w:rPr>
          <w:sz w:val="20"/>
          <w:szCs w:val="20"/>
          <w:color w:val="auto"/>
        </w:rPr>
      </w:pPr>
    </w:p>
    <w:p>
      <w:pPr>
        <w:ind w:left="1060" w:right="360" w:hanging="682"/>
        <w:spacing w:after="0" w:line="279" w:lineRule="auto"/>
        <w:tabs>
          <w:tab w:leader="none" w:pos="1040" w:val="left"/>
        </w:tabs>
        <w:rPr>
          <w:rFonts w:ascii="Arial" w:cs="Arial" w:eastAsia="Arial" w:hAnsi="Arial"/>
          <w:sz w:val="17"/>
          <w:szCs w:val="17"/>
          <w:u w:val="single" w:color="auto"/>
          <w:color w:val="0000EE"/>
        </w:rPr>
      </w:pPr>
      <w:r>
        <w:rPr>
          <w:rFonts w:ascii="Arial" w:cs="Arial" w:eastAsia="Arial" w:hAnsi="Arial"/>
          <w:sz w:val="17"/>
          <w:szCs w:val="17"/>
          <w:color w:val="auto"/>
        </w:rPr>
        <w:t>3.2</w:t>
      </w:r>
      <w:r>
        <w:rPr>
          <w:sz w:val="20"/>
          <w:szCs w:val="20"/>
          <w:color w:val="auto"/>
        </w:rPr>
        <w:tab/>
      </w:r>
      <w:hyperlink r:id="rId50">
        <w:r>
          <w:rPr>
            <w:rFonts w:ascii="Arial" w:cs="Arial" w:eastAsia="Arial" w:hAnsi="Arial"/>
            <w:sz w:val="17"/>
            <w:szCs w:val="17"/>
            <w:u w:val="single" w:color="auto"/>
            <w:color w:val="0000EE"/>
          </w:rPr>
          <w:t>Amended and Restated Bylaws of MediaAlpha, Inc. (incorporated by reference to Exhibit 3.2 on Form 8-K (File No. 001-39671) filed on</w:t>
        </w:r>
      </w:hyperlink>
      <w:r>
        <w:rPr>
          <w:rFonts w:ascii="Arial" w:cs="Arial" w:eastAsia="Arial" w:hAnsi="Arial"/>
          <w:sz w:val="17"/>
          <w:szCs w:val="17"/>
          <w:u w:val="single" w:color="auto"/>
          <w:color w:val="0000EE"/>
        </w:rPr>
        <w:t xml:space="preserve"> </w:t>
      </w:r>
      <w:hyperlink r:id="rId50">
        <w:r>
          <w:rPr>
            <w:rFonts w:ascii="Arial" w:cs="Arial" w:eastAsia="Arial" w:hAnsi="Arial"/>
            <w:sz w:val="17"/>
            <w:szCs w:val="17"/>
            <w:u w:val="single" w:color="auto"/>
            <w:color w:val="0000EE"/>
          </w:rPr>
          <w:t>November 2, 2020).</w:t>
        </w:r>
      </w:hyperlink>
    </w:p>
    <w:p>
      <w:pPr>
        <w:spacing w:after="0" w:line="61" w:lineRule="exact"/>
        <w:rPr>
          <w:sz w:val="20"/>
          <w:szCs w:val="20"/>
          <w:color w:val="auto"/>
        </w:rPr>
      </w:pPr>
    </w:p>
    <w:p>
      <w:pPr>
        <w:ind w:left="1060" w:right="560" w:hanging="682"/>
        <w:spacing w:after="0" w:line="279" w:lineRule="auto"/>
        <w:tabs>
          <w:tab w:leader="none" w:pos="1040" w:val="left"/>
        </w:tabs>
        <w:rPr>
          <w:rFonts w:ascii="Arial" w:cs="Arial" w:eastAsia="Arial" w:hAnsi="Arial"/>
          <w:sz w:val="17"/>
          <w:szCs w:val="17"/>
          <w:u w:val="single" w:color="auto"/>
          <w:color w:val="0000EE"/>
        </w:rPr>
      </w:pPr>
      <w:r>
        <w:rPr>
          <w:rFonts w:ascii="Arial" w:cs="Arial" w:eastAsia="Arial" w:hAnsi="Arial"/>
          <w:sz w:val="17"/>
          <w:szCs w:val="17"/>
          <w:color w:val="auto"/>
        </w:rPr>
        <w:t>4.1</w:t>
      </w:r>
      <w:r>
        <w:rPr>
          <w:sz w:val="20"/>
          <w:szCs w:val="20"/>
          <w:color w:val="auto"/>
        </w:rPr>
        <w:tab/>
      </w:r>
      <w:hyperlink r:id="rId51">
        <w:r>
          <w:rPr>
            <w:rFonts w:ascii="Arial" w:cs="Arial" w:eastAsia="Arial" w:hAnsi="Arial"/>
            <w:sz w:val="17"/>
            <w:szCs w:val="17"/>
            <w:u w:val="single" w:color="auto"/>
            <w:color w:val="0000EE"/>
          </w:rPr>
          <w:t>MediaAlpha, Inc. 2020 Omnibus Incentive Plan (incorporated by reference to Exhibit 10.6 on Form 8-K (File No. 001-39671) filed on</w:t>
        </w:r>
      </w:hyperlink>
      <w:r>
        <w:rPr>
          <w:rFonts w:ascii="Arial" w:cs="Arial" w:eastAsia="Arial" w:hAnsi="Arial"/>
          <w:sz w:val="17"/>
          <w:szCs w:val="17"/>
          <w:u w:val="single" w:color="auto"/>
          <w:color w:val="0000EE"/>
        </w:rPr>
        <w:t xml:space="preserve"> </w:t>
      </w:r>
      <w:hyperlink r:id="rId51">
        <w:r>
          <w:rPr>
            <w:rFonts w:ascii="Arial" w:cs="Arial" w:eastAsia="Arial" w:hAnsi="Arial"/>
            <w:sz w:val="17"/>
            <w:szCs w:val="17"/>
            <w:u w:val="single" w:color="auto"/>
            <w:color w:val="0000EE"/>
          </w:rPr>
          <w:t>November 2, 2020).</w:t>
        </w:r>
      </w:hyperlink>
    </w:p>
    <w:p>
      <w:pPr>
        <w:spacing w:after="0" w:line="61" w:lineRule="exact"/>
        <w:rPr>
          <w:sz w:val="20"/>
          <w:szCs w:val="20"/>
          <w:color w:val="auto"/>
        </w:rPr>
      </w:pPr>
    </w:p>
    <w:p>
      <w:pPr>
        <w:ind w:left="380"/>
        <w:spacing w:after="0"/>
        <w:tabs>
          <w:tab w:leader="none" w:pos="1040" w:val="left"/>
        </w:tabs>
        <w:rPr>
          <w:rFonts w:ascii="Arial" w:cs="Arial" w:eastAsia="Arial" w:hAnsi="Arial"/>
          <w:sz w:val="16"/>
          <w:szCs w:val="16"/>
          <w:u w:val="single" w:color="auto"/>
          <w:color w:val="0000EE"/>
        </w:rPr>
      </w:pPr>
      <w:r>
        <w:rPr>
          <w:rFonts w:ascii="Arial" w:cs="Arial" w:eastAsia="Arial" w:hAnsi="Arial"/>
          <w:sz w:val="17"/>
          <w:szCs w:val="17"/>
          <w:color w:val="auto"/>
        </w:rPr>
        <w:t>4.2*</w:t>
      </w:r>
      <w:r>
        <w:rPr>
          <w:sz w:val="20"/>
          <w:szCs w:val="20"/>
          <w:color w:val="auto"/>
        </w:rPr>
        <w:tab/>
      </w:r>
      <w:hyperlink w:anchor="page28">
        <w:r>
          <w:rPr>
            <w:rFonts w:ascii="Arial" w:cs="Arial" w:eastAsia="Arial" w:hAnsi="Arial"/>
            <w:sz w:val="16"/>
            <w:szCs w:val="16"/>
            <w:u w:val="single" w:color="auto"/>
            <w:color w:val="0000EE"/>
          </w:rPr>
          <w:t>QL Holdings LLC Class B Restricted Unit Plan.</w:t>
        </w:r>
      </w:hyperlink>
    </w:p>
    <w:p>
      <w:pPr>
        <w:spacing w:after="0" w:line="114" w:lineRule="exact"/>
        <w:rPr>
          <w:sz w:val="20"/>
          <w:szCs w:val="20"/>
          <w:color w:val="auto"/>
        </w:rPr>
      </w:pPr>
    </w:p>
    <w:p>
      <w:pPr>
        <w:ind w:left="1060" w:right="120" w:hanging="682"/>
        <w:spacing w:after="0" w:line="279" w:lineRule="auto"/>
        <w:tabs>
          <w:tab w:leader="none" w:pos="1040" w:val="left"/>
        </w:tabs>
        <w:rPr>
          <w:rFonts w:ascii="Arial" w:cs="Arial" w:eastAsia="Arial" w:hAnsi="Arial"/>
          <w:sz w:val="17"/>
          <w:szCs w:val="17"/>
          <w:u w:val="single" w:color="auto"/>
          <w:color w:val="0000EE"/>
        </w:rPr>
      </w:pPr>
      <w:r>
        <w:rPr>
          <w:rFonts w:ascii="Arial" w:cs="Arial" w:eastAsia="Arial" w:hAnsi="Arial"/>
          <w:sz w:val="17"/>
          <w:szCs w:val="17"/>
          <w:color w:val="auto"/>
        </w:rPr>
        <w:t>4.3</w:t>
      </w:r>
      <w:r>
        <w:rPr>
          <w:sz w:val="20"/>
          <w:szCs w:val="20"/>
          <w:color w:val="auto"/>
        </w:rPr>
        <w:tab/>
      </w:r>
      <w:hyperlink r:id="rId52">
        <w:r>
          <w:rPr>
            <w:rFonts w:ascii="Arial" w:cs="Arial" w:eastAsia="Arial" w:hAnsi="Arial"/>
            <w:sz w:val="17"/>
            <w:szCs w:val="17"/>
            <w:u w:val="single" w:color="auto"/>
            <w:color w:val="0000EE"/>
          </w:rPr>
          <w:t>Amended and Restated QL Holdings LLC Class B Restricted Unit Plan (incorporated by reference to Exhibit 10.7 on Form S-1 (Registration</w:t>
        </w:r>
      </w:hyperlink>
      <w:r>
        <w:rPr>
          <w:rFonts w:ascii="Arial" w:cs="Arial" w:eastAsia="Arial" w:hAnsi="Arial"/>
          <w:sz w:val="17"/>
          <w:szCs w:val="17"/>
          <w:u w:val="single" w:color="auto"/>
          <w:color w:val="0000EE"/>
        </w:rPr>
        <w:t xml:space="preserve"> </w:t>
      </w:r>
      <w:hyperlink r:id="rId52">
        <w:r>
          <w:rPr>
            <w:rFonts w:ascii="Arial" w:cs="Arial" w:eastAsia="Arial" w:hAnsi="Arial"/>
            <w:sz w:val="17"/>
            <w:szCs w:val="17"/>
            <w:u w:val="single" w:color="auto"/>
            <w:color w:val="0000EE"/>
          </w:rPr>
          <w:t>No. 333-249326) filed on October 5, 2020).</w:t>
        </w:r>
      </w:hyperlink>
    </w:p>
    <w:p>
      <w:pPr>
        <w:spacing w:after="0" w:line="61" w:lineRule="exact"/>
        <w:rPr>
          <w:sz w:val="20"/>
          <w:szCs w:val="20"/>
          <w:color w:val="auto"/>
        </w:rPr>
      </w:pPr>
    </w:p>
    <w:p>
      <w:pPr>
        <w:ind w:left="380"/>
        <w:spacing w:after="0"/>
        <w:tabs>
          <w:tab w:leader="none" w:pos="1040" w:val="left"/>
        </w:tabs>
        <w:rPr>
          <w:rFonts w:ascii="Arial" w:cs="Arial" w:eastAsia="Arial" w:hAnsi="Arial"/>
          <w:sz w:val="15"/>
          <w:szCs w:val="15"/>
          <w:u w:val="single" w:color="auto"/>
          <w:color w:val="0000EE"/>
        </w:rPr>
      </w:pPr>
      <w:r>
        <w:rPr>
          <w:rFonts w:ascii="Arial" w:cs="Arial" w:eastAsia="Arial" w:hAnsi="Arial"/>
          <w:sz w:val="17"/>
          <w:szCs w:val="17"/>
          <w:color w:val="auto"/>
        </w:rPr>
        <w:t>5.1*</w:t>
      </w:r>
      <w:r>
        <w:rPr>
          <w:sz w:val="20"/>
          <w:szCs w:val="20"/>
          <w:color w:val="auto"/>
        </w:rPr>
        <w:tab/>
      </w:r>
      <w:hyperlink w:anchor="page34">
        <w:r>
          <w:rPr>
            <w:rFonts w:ascii="Arial" w:cs="Arial" w:eastAsia="Arial" w:hAnsi="Arial"/>
            <w:sz w:val="15"/>
            <w:szCs w:val="15"/>
            <w:u w:val="single" w:color="auto"/>
            <w:color w:val="0000EE"/>
          </w:rPr>
          <w:t>Opinion of Cravath, Swaine &amp; Moore LLP, regarding validity of the shares of Class A common stock registered.</w:t>
        </w:r>
      </w:hyperlink>
    </w:p>
    <w:p>
      <w:pPr>
        <w:spacing w:after="0" w:line="114" w:lineRule="exact"/>
        <w:rPr>
          <w:sz w:val="20"/>
          <w:szCs w:val="20"/>
          <w:color w:val="auto"/>
        </w:rPr>
      </w:pPr>
    </w:p>
    <w:p>
      <w:pPr>
        <w:ind w:left="380"/>
        <w:spacing w:after="0"/>
        <w:tabs>
          <w:tab w:leader="none" w:pos="1040" w:val="left"/>
        </w:tabs>
        <w:rPr>
          <w:rFonts w:ascii="Arial" w:cs="Arial" w:eastAsia="Arial" w:hAnsi="Arial"/>
          <w:sz w:val="15"/>
          <w:szCs w:val="15"/>
          <w:u w:val="single" w:color="auto"/>
          <w:color w:val="0000EE"/>
        </w:rPr>
      </w:pPr>
      <w:r>
        <w:rPr>
          <w:rFonts w:ascii="Arial" w:cs="Arial" w:eastAsia="Arial" w:hAnsi="Arial"/>
          <w:sz w:val="17"/>
          <w:szCs w:val="17"/>
          <w:color w:val="auto"/>
        </w:rPr>
        <w:t>23.1*</w:t>
      </w:r>
      <w:r>
        <w:rPr>
          <w:sz w:val="20"/>
          <w:szCs w:val="20"/>
          <w:color w:val="auto"/>
        </w:rPr>
        <w:tab/>
      </w:r>
      <w:hyperlink w:anchor="page36">
        <w:r>
          <w:rPr>
            <w:rFonts w:ascii="Arial" w:cs="Arial" w:eastAsia="Arial" w:hAnsi="Arial"/>
            <w:sz w:val="15"/>
            <w:szCs w:val="15"/>
            <w:u w:val="single" w:color="auto"/>
            <w:color w:val="0000EE"/>
          </w:rPr>
          <w:t>Consent of PricewaterhouseCoopers LLP</w:t>
        </w:r>
        <w:r>
          <w:rPr>
            <w:rFonts w:ascii="Arial" w:cs="Arial" w:eastAsia="Arial" w:hAnsi="Arial"/>
            <w:sz w:val="15"/>
            <w:szCs w:val="15"/>
            <w:color w:val="0000EE"/>
          </w:rPr>
          <w:t>.</w:t>
        </w:r>
      </w:hyperlink>
    </w:p>
    <w:p>
      <w:pPr>
        <w:spacing w:after="0" w:line="114" w:lineRule="exact"/>
        <w:rPr>
          <w:sz w:val="20"/>
          <w:szCs w:val="20"/>
          <w:color w:val="auto"/>
        </w:rPr>
      </w:pPr>
    </w:p>
    <w:p>
      <w:pPr>
        <w:ind w:left="380"/>
        <w:spacing w:after="0"/>
        <w:tabs>
          <w:tab w:leader="none" w:pos="1040" w:val="left"/>
        </w:tabs>
        <w:rPr>
          <w:rFonts w:ascii="Arial" w:cs="Arial" w:eastAsia="Arial" w:hAnsi="Arial"/>
          <w:sz w:val="15"/>
          <w:szCs w:val="15"/>
          <w:u w:val="single" w:color="auto"/>
          <w:color w:val="0000EE"/>
        </w:rPr>
      </w:pPr>
      <w:r>
        <w:rPr>
          <w:rFonts w:ascii="Arial" w:cs="Arial" w:eastAsia="Arial" w:hAnsi="Arial"/>
          <w:sz w:val="17"/>
          <w:szCs w:val="17"/>
          <w:color w:val="auto"/>
        </w:rPr>
        <w:t>23.2*</w:t>
      </w:r>
      <w:r>
        <w:rPr>
          <w:sz w:val="20"/>
          <w:szCs w:val="20"/>
          <w:color w:val="auto"/>
        </w:rPr>
        <w:tab/>
      </w:r>
      <w:hyperlink w:anchor="page37">
        <w:r>
          <w:rPr>
            <w:rFonts w:ascii="Arial" w:cs="Arial" w:eastAsia="Arial" w:hAnsi="Arial"/>
            <w:sz w:val="15"/>
            <w:szCs w:val="15"/>
            <w:u w:val="single" w:color="auto"/>
            <w:color w:val="0000EE"/>
          </w:rPr>
          <w:t>Consent of PricewaterhouseCoopers LLP</w:t>
        </w:r>
        <w:r>
          <w:rPr>
            <w:rFonts w:ascii="Arial" w:cs="Arial" w:eastAsia="Arial" w:hAnsi="Arial"/>
            <w:sz w:val="15"/>
            <w:szCs w:val="15"/>
            <w:color w:val="0000EE"/>
          </w:rPr>
          <w:t>.</w:t>
        </w:r>
      </w:hyperlink>
    </w:p>
    <w:p>
      <w:pPr>
        <w:spacing w:after="0" w:line="114" w:lineRule="exact"/>
        <w:rPr>
          <w:sz w:val="20"/>
          <w:szCs w:val="20"/>
          <w:color w:val="auto"/>
        </w:rPr>
      </w:pPr>
    </w:p>
    <w:p>
      <w:pPr>
        <w:ind w:left="380"/>
        <w:spacing w:after="0"/>
        <w:tabs>
          <w:tab w:leader="none" w:pos="1040" w:val="left"/>
        </w:tabs>
        <w:rPr>
          <w:rFonts w:ascii="Arial" w:cs="Arial" w:eastAsia="Arial" w:hAnsi="Arial"/>
          <w:sz w:val="15"/>
          <w:szCs w:val="15"/>
          <w:u w:val="single" w:color="auto"/>
          <w:color w:val="0000EE"/>
        </w:rPr>
      </w:pPr>
      <w:r>
        <w:rPr>
          <w:rFonts w:ascii="Arial" w:cs="Arial" w:eastAsia="Arial" w:hAnsi="Arial"/>
          <w:sz w:val="17"/>
          <w:szCs w:val="17"/>
          <w:color w:val="auto"/>
        </w:rPr>
        <w:t>23.3*</w:t>
      </w:r>
      <w:r>
        <w:rPr>
          <w:sz w:val="20"/>
          <w:szCs w:val="20"/>
          <w:color w:val="auto"/>
        </w:rPr>
        <w:tab/>
      </w:r>
      <w:hyperlink w:anchor="page38">
        <w:r>
          <w:rPr>
            <w:rFonts w:ascii="Arial" w:cs="Arial" w:eastAsia="Arial" w:hAnsi="Arial"/>
            <w:sz w:val="15"/>
            <w:szCs w:val="15"/>
            <w:u w:val="single" w:color="auto"/>
            <w:color w:val="0000EE"/>
          </w:rPr>
          <w:t>Consent of PricewaterhouseCoopers LLP</w:t>
        </w:r>
        <w:r>
          <w:rPr>
            <w:rFonts w:ascii="Arial" w:cs="Arial" w:eastAsia="Arial" w:hAnsi="Arial"/>
            <w:sz w:val="15"/>
            <w:szCs w:val="15"/>
            <w:color w:val="0000EE"/>
          </w:rPr>
          <w:t>.</w:t>
        </w:r>
      </w:hyperlink>
    </w:p>
    <w:p>
      <w:pPr>
        <w:spacing w:after="0" w:line="114" w:lineRule="exact"/>
        <w:rPr>
          <w:sz w:val="20"/>
          <w:szCs w:val="20"/>
          <w:color w:val="auto"/>
        </w:rPr>
      </w:pPr>
    </w:p>
    <w:p>
      <w:pPr>
        <w:ind w:left="380"/>
        <w:spacing w:after="0"/>
        <w:tabs>
          <w:tab w:leader="none" w:pos="1040" w:val="left"/>
        </w:tabs>
        <w:rPr>
          <w:rFonts w:ascii="Arial" w:cs="Arial" w:eastAsia="Arial" w:hAnsi="Arial"/>
          <w:sz w:val="15"/>
          <w:szCs w:val="15"/>
          <w:u w:val="single" w:color="auto"/>
          <w:color w:val="0000EE"/>
        </w:rPr>
      </w:pPr>
      <w:r>
        <w:rPr>
          <w:rFonts w:ascii="Arial" w:cs="Arial" w:eastAsia="Arial" w:hAnsi="Arial"/>
          <w:sz w:val="17"/>
          <w:szCs w:val="17"/>
          <w:color w:val="auto"/>
        </w:rPr>
        <w:t>23.4*</w:t>
      </w:r>
      <w:r>
        <w:rPr>
          <w:sz w:val="20"/>
          <w:szCs w:val="20"/>
          <w:color w:val="auto"/>
        </w:rPr>
        <w:tab/>
      </w:r>
      <w:hyperlink w:anchor="page34">
        <w:r>
          <w:rPr>
            <w:rFonts w:ascii="Arial" w:cs="Arial" w:eastAsia="Arial" w:hAnsi="Arial"/>
            <w:sz w:val="15"/>
            <w:szCs w:val="15"/>
            <w:u w:val="single" w:color="auto"/>
            <w:color w:val="0000EE"/>
          </w:rPr>
          <w:t>Consent of Cravath, Swaine &amp; Moore LLP (contained in its opinion filed as Exhibit 5.1 hereto).</w:t>
        </w:r>
      </w:hyperlink>
    </w:p>
    <w:p>
      <w:pPr>
        <w:spacing w:after="0" w:line="114" w:lineRule="exact"/>
        <w:rPr>
          <w:sz w:val="20"/>
          <w:szCs w:val="20"/>
          <w:color w:val="auto"/>
        </w:rPr>
      </w:pPr>
    </w:p>
    <w:p>
      <w:pPr>
        <w:ind w:left="380"/>
        <w:spacing w:after="0"/>
        <w:tabs>
          <w:tab w:leader="none" w:pos="1040" w:val="left"/>
        </w:tabs>
        <w:rPr>
          <w:rFonts w:ascii="Arial" w:cs="Arial" w:eastAsia="Arial" w:hAnsi="Arial"/>
          <w:sz w:val="15"/>
          <w:szCs w:val="15"/>
          <w:u w:val="single" w:color="auto"/>
          <w:color w:val="0000EE"/>
        </w:rPr>
      </w:pPr>
      <w:r>
        <w:rPr>
          <w:rFonts w:ascii="Arial" w:cs="Arial" w:eastAsia="Arial" w:hAnsi="Arial"/>
          <w:sz w:val="17"/>
          <w:szCs w:val="17"/>
          <w:color w:val="auto"/>
        </w:rPr>
        <w:t>24.1*</w:t>
      </w:r>
      <w:r>
        <w:rPr>
          <w:sz w:val="20"/>
          <w:szCs w:val="20"/>
          <w:color w:val="auto"/>
        </w:rPr>
        <w:tab/>
      </w:r>
      <w:hyperlink w:anchor="page26">
        <w:r>
          <w:rPr>
            <w:rFonts w:ascii="Arial" w:cs="Arial" w:eastAsia="Arial" w:hAnsi="Arial"/>
            <w:sz w:val="15"/>
            <w:szCs w:val="15"/>
            <w:u w:val="single" w:color="auto"/>
            <w:color w:val="0000EE"/>
          </w:rPr>
          <w:t>Power of Attorney (included on the signature page to this Registration Statement)</w:t>
        </w:r>
        <w:r>
          <w:rPr>
            <w:rFonts w:ascii="Arial" w:cs="Arial" w:eastAsia="Arial" w:hAnsi="Arial"/>
            <w:sz w:val="15"/>
            <w:szCs w:val="15"/>
            <w:color w:val="0000EE"/>
          </w:rPr>
          <w:t>.</w:t>
        </w:r>
      </w:hyperlink>
    </w:p>
    <w:p>
      <w:pPr>
        <w:spacing w:after="0" w:line="242" w:lineRule="exact"/>
        <w:rPr>
          <w:sz w:val="20"/>
          <w:szCs w:val="20"/>
          <w:color w:val="auto"/>
        </w:rPr>
      </w:pPr>
    </w:p>
    <w:p>
      <w:pPr>
        <w:ind w:left="780" w:hanging="410"/>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Filed herewith.</w:t>
      </w:r>
    </w:p>
    <w:p>
      <w:pPr>
        <w:sectPr>
          <w:pgSz w:w="11900" w:h="16838" w:orient="portrait"/>
          <w:cols w:equalWidth="0" w:num="1">
            <w:col w:w="10860"/>
          </w:cols>
          <w:pgMar w:left="320" w:top="444" w:right="71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24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155180" cy="24765"/>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Item 9. Undertakings.</w:t>
      </w:r>
    </w:p>
    <w:p>
      <w:pPr>
        <w:spacing w:after="0" w:line="132" w:lineRule="exact"/>
        <w:rPr>
          <w:sz w:val="20"/>
          <w:szCs w:val="20"/>
          <w:color w:val="auto"/>
        </w:rPr>
      </w:pPr>
    </w:p>
    <w:p>
      <w:pPr>
        <w:ind w:left="780" w:hanging="410"/>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undersigned Registrant hereby undertakes:</w:t>
      </w:r>
    </w:p>
    <w:p>
      <w:pPr>
        <w:spacing w:after="0" w:line="126" w:lineRule="exact"/>
        <w:rPr>
          <w:rFonts w:ascii="Arial" w:cs="Arial" w:eastAsia="Arial" w:hAnsi="Arial"/>
          <w:sz w:val="17"/>
          <w:szCs w:val="17"/>
          <w:color w:val="auto"/>
        </w:rPr>
      </w:pPr>
    </w:p>
    <w:p>
      <w:pPr>
        <w:ind w:left="1300" w:hanging="518"/>
        <w:spacing w:after="0"/>
        <w:tabs>
          <w:tab w:leader="none" w:pos="13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13" w:lineRule="exact"/>
        <w:rPr>
          <w:rFonts w:ascii="Arial" w:cs="Arial" w:eastAsia="Arial" w:hAnsi="Arial"/>
          <w:sz w:val="17"/>
          <w:szCs w:val="17"/>
          <w:color w:val="auto"/>
        </w:rPr>
      </w:pPr>
    </w:p>
    <w:p>
      <w:pPr>
        <w:ind w:left="1940" w:hanging="204"/>
        <w:spacing w:after="0"/>
        <w:tabs>
          <w:tab w:leader="none" w:pos="1940" w:val="left"/>
        </w:tabs>
        <w:numPr>
          <w:ilvl w:val="2"/>
          <w:numId w:val="16"/>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w:t>
      </w:r>
    </w:p>
    <w:p>
      <w:pPr>
        <w:spacing w:after="0" w:line="113" w:lineRule="exact"/>
        <w:rPr>
          <w:rFonts w:ascii="Arial" w:cs="Arial" w:eastAsia="Arial" w:hAnsi="Arial"/>
          <w:sz w:val="17"/>
          <w:szCs w:val="17"/>
          <w:color w:val="auto"/>
        </w:rPr>
      </w:pPr>
    </w:p>
    <w:p>
      <w:pPr>
        <w:ind w:left="1740" w:hanging="4"/>
        <w:spacing w:after="0" w:line="297" w:lineRule="auto"/>
        <w:tabs>
          <w:tab w:leader="none" w:pos="1990" w:val="left"/>
        </w:tabs>
        <w:numPr>
          <w:ilvl w:val="2"/>
          <w:numId w:val="16"/>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51" w:lineRule="exact"/>
        <w:rPr>
          <w:rFonts w:ascii="Arial" w:cs="Arial" w:eastAsia="Arial" w:hAnsi="Arial"/>
          <w:sz w:val="15"/>
          <w:szCs w:val="15"/>
          <w:color w:val="auto"/>
        </w:rPr>
      </w:pPr>
    </w:p>
    <w:p>
      <w:pPr>
        <w:ind w:left="1740" w:right="260" w:hanging="4"/>
        <w:spacing w:after="0" w:line="279" w:lineRule="auto"/>
        <w:tabs>
          <w:tab w:leader="none" w:pos="2037" w:val="left"/>
        </w:tabs>
        <w:numPr>
          <w:ilvl w:val="2"/>
          <w:numId w:val="16"/>
        </w:numPr>
        <w:rPr>
          <w:rFonts w:ascii="Arial" w:cs="Arial" w:eastAsia="Arial" w:hAnsi="Arial"/>
          <w:sz w:val="16"/>
          <w:szCs w:val="16"/>
          <w:color w:val="auto"/>
        </w:rPr>
      </w:pPr>
      <w:r>
        <w:rPr>
          <w:rFonts w:ascii="Arial" w:cs="Arial" w:eastAsia="Arial" w:hAnsi="Arial"/>
          <w:sz w:val="16"/>
          <w:szCs w:val="16"/>
          <w:color w:val="auto"/>
        </w:rPr>
        <w:t>To include any material information with respect to the plan of distribution not previously disclosed in this Registration Statement or any material change to such information in this Registration Statement; provided, however, that paragraphs (a)(1)(i) and (a)(1)(ii) of this section do not apply if the information required to be included in a post-effective amendment by those paragraphs is contained in periodic reports filed with or furnished to the Commission by the Registrant pursuant to Section 13 or 15(d) of the Exchange Act that are incorporated by reference in this Registration Statement.</w:t>
      </w:r>
    </w:p>
    <w:p>
      <w:pPr>
        <w:spacing w:after="0" w:line="76" w:lineRule="exact"/>
        <w:rPr>
          <w:rFonts w:ascii="Arial" w:cs="Arial" w:eastAsia="Arial" w:hAnsi="Arial"/>
          <w:sz w:val="16"/>
          <w:szCs w:val="16"/>
          <w:color w:val="auto"/>
        </w:rPr>
      </w:pPr>
    </w:p>
    <w:p>
      <w:pPr>
        <w:ind w:left="1300" w:hanging="518"/>
        <w:spacing w:after="0" w:line="266" w:lineRule="auto"/>
        <w:tabs>
          <w:tab w:leader="none" w:pos="13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84" w:lineRule="exact"/>
        <w:rPr>
          <w:rFonts w:ascii="Arial" w:cs="Arial" w:eastAsia="Arial" w:hAnsi="Arial"/>
          <w:sz w:val="17"/>
          <w:szCs w:val="17"/>
          <w:color w:val="auto"/>
        </w:rPr>
      </w:pPr>
    </w:p>
    <w:p>
      <w:pPr>
        <w:ind w:left="1300" w:right="340" w:hanging="518"/>
        <w:spacing w:after="0" w:line="279" w:lineRule="auto"/>
        <w:tabs>
          <w:tab w:leader="none" w:pos="13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To remove from registration by means of a post-effective amendment any of the securities being registered which remain unsold at the termination of the offering.</w:t>
      </w:r>
    </w:p>
    <w:p>
      <w:pPr>
        <w:spacing w:after="0" w:line="73" w:lineRule="exact"/>
        <w:rPr>
          <w:rFonts w:ascii="Arial" w:cs="Arial" w:eastAsia="Arial" w:hAnsi="Arial"/>
          <w:sz w:val="17"/>
          <w:szCs w:val="17"/>
          <w:color w:val="auto"/>
        </w:rPr>
      </w:pPr>
    </w:p>
    <w:p>
      <w:pPr>
        <w:ind w:left="780" w:hanging="410"/>
        <w:spacing w:after="0" w:line="259" w:lineRule="auto"/>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91" w:lineRule="exact"/>
        <w:rPr>
          <w:rFonts w:ascii="Arial" w:cs="Arial" w:eastAsia="Arial" w:hAnsi="Arial"/>
          <w:sz w:val="17"/>
          <w:szCs w:val="17"/>
          <w:color w:val="auto"/>
        </w:rPr>
      </w:pPr>
    </w:p>
    <w:p>
      <w:pPr>
        <w:ind w:left="780" w:right="60" w:hanging="410"/>
        <w:spacing w:after="0" w:line="274"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860"/>
          </w:cols>
          <w:pgMar w:left="320" w:top="444" w:right="71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247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7155180" cy="24765"/>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SIGNATURES</w:t>
      </w:r>
    </w:p>
    <w:p>
      <w:pPr>
        <w:spacing w:after="0" w:line="223" w:lineRule="exact"/>
        <w:rPr>
          <w:sz w:val="20"/>
          <w:szCs w:val="20"/>
          <w:color w:val="auto"/>
        </w:rPr>
      </w:pPr>
    </w:p>
    <w:p>
      <w:pPr>
        <w:jc w:val="both"/>
        <w:ind w:left="380" w:right="180"/>
        <w:spacing w:after="0" w:line="266" w:lineRule="auto"/>
        <w:rPr>
          <w:sz w:val="20"/>
          <w:szCs w:val="20"/>
          <w:color w:val="auto"/>
        </w:rPr>
      </w:pPr>
      <w:r>
        <w:rPr>
          <w:rFonts w:ascii="Arial" w:cs="Arial" w:eastAsia="Arial" w:hAnsi="Arial"/>
          <w:sz w:val="17"/>
          <w:szCs w:val="17"/>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Los Angeles, in the State of California, on November 9, 2020.</w:t>
      </w:r>
    </w:p>
    <w:p>
      <w:pPr>
        <w:spacing w:after="0" w:line="194" w:lineRule="exact"/>
        <w:rPr>
          <w:sz w:val="20"/>
          <w:szCs w:val="20"/>
          <w:color w:val="auto"/>
        </w:rPr>
      </w:pPr>
    </w:p>
    <w:p>
      <w:pPr>
        <w:ind w:left="6680"/>
        <w:spacing w:after="0"/>
        <w:rPr>
          <w:sz w:val="20"/>
          <w:szCs w:val="20"/>
          <w:color w:val="auto"/>
        </w:rPr>
      </w:pPr>
      <w:r>
        <w:rPr>
          <w:rFonts w:ascii="Arial" w:cs="Arial" w:eastAsia="Arial" w:hAnsi="Arial"/>
          <w:sz w:val="17"/>
          <w:szCs w:val="17"/>
          <w:b w:val="1"/>
          <w:bCs w:val="1"/>
          <w:color w:val="auto"/>
        </w:rPr>
        <w:t>MEDIAALPHA, INC.</w:t>
      </w:r>
    </w:p>
    <w:p>
      <w:pPr>
        <w:spacing w:after="0" w:line="223"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By: /s/ Lance Martinez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4466590</wp:posOffset>
            </wp:positionH>
            <wp:positionV relativeFrom="paragraph">
              <wp:posOffset>14605</wp:posOffset>
            </wp:positionV>
            <wp:extent cx="24447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2444750" cy="8255"/>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Lance Martinez</w:t>
      </w:r>
    </w:p>
    <w:p>
      <w:pPr>
        <w:spacing w:after="0" w:line="21"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General Counsel &amp; Secretary</w:t>
      </w:r>
    </w:p>
    <w:p>
      <w:pPr>
        <w:spacing w:after="0" w:line="200" w:lineRule="exact"/>
        <w:rPr>
          <w:sz w:val="20"/>
          <w:szCs w:val="20"/>
          <w:color w:val="auto"/>
        </w:rPr>
      </w:pPr>
    </w:p>
    <w:p>
      <w:pPr>
        <w:spacing w:after="0" w:line="206"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POWER OF ATTORNEY</w:t>
      </w:r>
    </w:p>
    <w:p>
      <w:pPr>
        <w:spacing w:after="0" w:line="223" w:lineRule="exact"/>
        <w:rPr>
          <w:sz w:val="20"/>
          <w:szCs w:val="20"/>
          <w:color w:val="auto"/>
        </w:rPr>
      </w:pPr>
    </w:p>
    <w:p>
      <w:pPr>
        <w:ind w:left="380" w:right="40"/>
        <w:spacing w:after="0" w:line="256"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Lance Martinez and Tigran Sinanyan, and each of them singly,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(any of which amendments may make such changes and additions to this Registration Statement as such attorneys-in-fact may deem necessary or appropriate) and to file the same, with all exhibits thereto, and any other documents that may be required in connection therewith, granted unto said attorneys-in-fact and agents full power and authority to be done in and about the premises, as fully to all intents and purposes as he or she might or could do in person, hereby ratifying and confirming all that said attorneys-in-fact and agents, or their substitutes, may lawfully do or cause to be done by virtue hereof.</w:t>
      </w:r>
    </w:p>
    <w:p>
      <w:pPr>
        <w:spacing w:after="0" w:line="186" w:lineRule="exact"/>
        <w:rPr>
          <w:sz w:val="20"/>
          <w:szCs w:val="20"/>
          <w:color w:val="auto"/>
        </w:rPr>
      </w:pPr>
    </w:p>
    <w:p>
      <w:pPr>
        <w:ind w:left="380" w:right="460"/>
        <w:spacing w:after="0" w:line="279" w:lineRule="auto"/>
        <w:rPr>
          <w:sz w:val="20"/>
          <w:szCs w:val="20"/>
          <w:color w:val="auto"/>
        </w:rPr>
      </w:pPr>
      <w:r>
        <w:rPr>
          <w:rFonts w:ascii="Arial" w:cs="Arial" w:eastAsia="Arial" w:hAnsi="Arial"/>
          <w:sz w:val="17"/>
          <w:szCs w:val="17"/>
          <w:color w:val="auto"/>
        </w:rPr>
        <w:t>Pursuant to the requirements of the Securities Act, this Registration Statement has been signed by the following persons in the capacities indicated below on November 9, 2020.</w:t>
      </w:r>
    </w:p>
    <w:p>
      <w:pPr>
        <w:spacing w:after="0" w:line="179" w:lineRule="exact"/>
        <w:rPr>
          <w:sz w:val="20"/>
          <w:szCs w:val="20"/>
          <w:color w:val="auto"/>
        </w:rPr>
      </w:pPr>
    </w:p>
    <w:tbl>
      <w:tblPr>
        <w:tblLayout w:type="fixed"/>
        <w:tblInd w:w="380" w:type="dxa"/>
        <w:tblCellMar>
          <w:top w:w="0" w:type="dxa"/>
          <w:left w:w="0" w:type="dxa"/>
          <w:bottom w:w="0" w:type="dxa"/>
          <w:right w:w="0" w:type="dxa"/>
        </w:tblCellMar>
      </w:tblPr>
      <w:tr>
        <w:trPr>
          <w:trHeight w:val="177"/>
        </w:trPr>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5"/>
                <w:szCs w:val="15"/>
                <w:color w:val="auto"/>
              </w:rPr>
            </w:pPr>
          </w:p>
        </w:tc>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Title</w:t>
            </w:r>
          </w:p>
        </w:tc>
        <w:tc>
          <w:tcPr>
            <w:tcW w:w="120" w:type="dxa"/>
            <w:vAlign w:val="bottom"/>
          </w:tcPr>
          <w:p>
            <w:pPr>
              <w:spacing w:after="0"/>
              <w:rPr>
                <w:sz w:val="15"/>
                <w:szCs w:val="15"/>
                <w:color w:val="auto"/>
              </w:rPr>
            </w:pPr>
          </w:p>
        </w:tc>
        <w:tc>
          <w:tcPr>
            <w:tcW w:w="166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Date</w:t>
            </w:r>
          </w:p>
        </w:tc>
      </w:tr>
      <w:tr>
        <w:trPr>
          <w:trHeight w:val="391"/>
        </w:trPr>
        <w:tc>
          <w:tcPr>
            <w:tcW w:w="3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Steven Yi</w:t>
            </w:r>
          </w:p>
        </w:tc>
        <w:tc>
          <w:tcPr>
            <w:tcW w:w="120" w:type="dxa"/>
            <w:vAlign w:val="bottom"/>
          </w:tcPr>
          <w:p>
            <w:pPr>
              <w:spacing w:after="0"/>
              <w:rPr>
                <w:sz w:val="24"/>
                <w:szCs w:val="24"/>
                <w:color w:val="auto"/>
              </w:rPr>
            </w:pPr>
          </w:p>
        </w:tc>
        <w:tc>
          <w:tcPr>
            <w:tcW w:w="4620" w:type="dxa"/>
            <w:vAlign w:val="bottom"/>
          </w:tcPr>
          <w:p>
            <w:pPr>
              <w:jc w:val="center"/>
              <w:spacing w:after="0"/>
              <w:rPr>
                <w:sz w:val="20"/>
                <w:szCs w:val="20"/>
                <w:color w:val="auto"/>
              </w:rPr>
            </w:pPr>
            <w:r>
              <w:rPr>
                <w:rFonts w:ascii="Arial" w:cs="Arial" w:eastAsia="Arial" w:hAnsi="Arial"/>
                <w:sz w:val="17"/>
                <w:szCs w:val="17"/>
                <w:color w:val="auto"/>
                <w:w w:val="95"/>
              </w:rPr>
              <w:t>Chief Executive Officer,</w:t>
            </w:r>
          </w:p>
        </w:tc>
        <w:tc>
          <w:tcPr>
            <w:tcW w:w="1780" w:type="dxa"/>
            <w:vAlign w:val="bottom"/>
            <w:gridSpan w:val="2"/>
          </w:tcPr>
          <w:p>
            <w:pPr>
              <w:ind w:left="100"/>
              <w:spacing w:after="0"/>
              <w:rPr>
                <w:sz w:val="20"/>
                <w:szCs w:val="20"/>
                <w:color w:val="auto"/>
              </w:rPr>
            </w:pPr>
            <w:r>
              <w:rPr>
                <w:rFonts w:ascii="Arial" w:cs="Arial" w:eastAsia="Arial" w:hAnsi="Arial"/>
                <w:sz w:val="17"/>
                <w:szCs w:val="17"/>
                <w:color w:val="auto"/>
              </w:rPr>
              <w:t>November 9, 2020</w:t>
            </w:r>
          </w:p>
        </w:tc>
      </w:tr>
      <w:tr>
        <w:trPr>
          <w:trHeight w:val="175"/>
        </w:trPr>
        <w:tc>
          <w:tcPr>
            <w:tcW w:w="3980" w:type="dxa"/>
            <w:vAlign w:val="bottom"/>
          </w:tcPr>
          <w:p>
            <w:pPr>
              <w:spacing w:after="0" w:line="176" w:lineRule="exact"/>
              <w:rPr>
                <w:sz w:val="20"/>
                <w:szCs w:val="20"/>
                <w:color w:val="auto"/>
              </w:rPr>
            </w:pPr>
            <w:r>
              <w:rPr>
                <w:rFonts w:ascii="Arial" w:cs="Arial" w:eastAsia="Arial" w:hAnsi="Arial"/>
                <w:sz w:val="17"/>
                <w:szCs w:val="17"/>
                <w:b w:val="1"/>
                <w:bCs w:val="1"/>
                <w:color w:val="auto"/>
              </w:rPr>
              <w:t>Steven Yi</w:t>
            </w:r>
          </w:p>
        </w:tc>
        <w:tc>
          <w:tcPr>
            <w:tcW w:w="120" w:type="dxa"/>
            <w:vAlign w:val="bottom"/>
          </w:tcPr>
          <w:p>
            <w:pPr>
              <w:spacing w:after="0"/>
              <w:rPr>
                <w:sz w:val="15"/>
                <w:szCs w:val="15"/>
                <w:color w:val="auto"/>
              </w:rPr>
            </w:pPr>
          </w:p>
        </w:tc>
        <w:tc>
          <w:tcPr>
            <w:tcW w:w="4620" w:type="dxa"/>
            <w:vAlign w:val="bottom"/>
          </w:tcPr>
          <w:p>
            <w:pPr>
              <w:jc w:val="center"/>
              <w:spacing w:after="0" w:line="176" w:lineRule="exact"/>
              <w:rPr>
                <w:sz w:val="20"/>
                <w:szCs w:val="20"/>
                <w:color w:val="auto"/>
              </w:rPr>
            </w:pPr>
            <w:r>
              <w:rPr>
                <w:rFonts w:ascii="Arial" w:cs="Arial" w:eastAsia="Arial" w:hAnsi="Arial"/>
                <w:sz w:val="17"/>
                <w:szCs w:val="17"/>
                <w:color w:val="auto"/>
                <w:w w:val="91"/>
              </w:rPr>
              <w:t>President and Director</w:t>
            </w:r>
          </w:p>
        </w:tc>
        <w:tc>
          <w:tcPr>
            <w:tcW w:w="1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17"/>
        </w:trPr>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20" w:type="dxa"/>
            <w:vAlign w:val="bottom"/>
          </w:tcPr>
          <w:p>
            <w:pPr>
              <w:jc w:val="center"/>
              <w:spacing w:after="0"/>
              <w:rPr>
                <w:sz w:val="20"/>
                <w:szCs w:val="20"/>
                <w:color w:val="auto"/>
              </w:rPr>
            </w:pPr>
            <w:r>
              <w:rPr>
                <w:rFonts w:ascii="Arial" w:cs="Arial" w:eastAsia="Arial" w:hAnsi="Arial"/>
                <w:sz w:val="17"/>
                <w:szCs w:val="17"/>
                <w:color w:val="auto"/>
                <w:w w:val="94"/>
              </w:rPr>
              <w:t>(Principal Executive Officer)</w:t>
            </w: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426"/>
        </w:trPr>
        <w:tc>
          <w:tcPr>
            <w:tcW w:w="3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Eugene Nonko</w:t>
            </w:r>
          </w:p>
        </w:tc>
        <w:tc>
          <w:tcPr>
            <w:tcW w:w="120" w:type="dxa"/>
            <w:vAlign w:val="bottom"/>
          </w:tcPr>
          <w:p>
            <w:pPr>
              <w:spacing w:after="0"/>
              <w:rPr>
                <w:sz w:val="24"/>
                <w:szCs w:val="24"/>
                <w:color w:val="auto"/>
              </w:rPr>
            </w:pPr>
          </w:p>
        </w:tc>
        <w:tc>
          <w:tcPr>
            <w:tcW w:w="4620" w:type="dxa"/>
            <w:vAlign w:val="bottom"/>
          </w:tcPr>
          <w:p>
            <w:pPr>
              <w:jc w:val="center"/>
              <w:spacing w:after="0"/>
              <w:rPr>
                <w:sz w:val="20"/>
                <w:szCs w:val="20"/>
                <w:color w:val="auto"/>
              </w:rPr>
            </w:pPr>
            <w:r>
              <w:rPr>
                <w:rFonts w:ascii="Arial" w:cs="Arial" w:eastAsia="Arial" w:hAnsi="Arial"/>
                <w:sz w:val="17"/>
                <w:szCs w:val="17"/>
                <w:color w:val="auto"/>
                <w:w w:val="93"/>
              </w:rPr>
              <w:t>Chief Technology Officer and Director</w:t>
            </w:r>
          </w:p>
        </w:tc>
        <w:tc>
          <w:tcPr>
            <w:tcW w:w="1780" w:type="dxa"/>
            <w:vAlign w:val="bottom"/>
            <w:gridSpan w:val="2"/>
          </w:tcPr>
          <w:p>
            <w:pPr>
              <w:ind w:left="100"/>
              <w:spacing w:after="0"/>
              <w:rPr>
                <w:sz w:val="20"/>
                <w:szCs w:val="20"/>
                <w:color w:val="auto"/>
              </w:rPr>
            </w:pPr>
            <w:r>
              <w:rPr>
                <w:rFonts w:ascii="Arial" w:cs="Arial" w:eastAsia="Arial" w:hAnsi="Arial"/>
                <w:sz w:val="17"/>
                <w:szCs w:val="17"/>
                <w:color w:val="auto"/>
              </w:rPr>
              <w:t>November 9, 2020</w:t>
            </w:r>
          </w:p>
        </w:tc>
      </w:tr>
      <w:tr>
        <w:trPr>
          <w:trHeight w:val="217"/>
        </w:trPr>
        <w:tc>
          <w:tcPr>
            <w:tcW w:w="3980" w:type="dxa"/>
            <w:vAlign w:val="bottom"/>
          </w:tcPr>
          <w:p>
            <w:pPr>
              <w:spacing w:after="0"/>
              <w:rPr>
                <w:sz w:val="20"/>
                <w:szCs w:val="20"/>
                <w:color w:val="auto"/>
              </w:rPr>
            </w:pPr>
            <w:r>
              <w:rPr>
                <w:rFonts w:ascii="Arial" w:cs="Arial" w:eastAsia="Arial" w:hAnsi="Arial"/>
                <w:sz w:val="17"/>
                <w:szCs w:val="17"/>
                <w:b w:val="1"/>
                <w:bCs w:val="1"/>
                <w:color w:val="auto"/>
              </w:rPr>
              <w:t>Eugene Nonko</w:t>
            </w:r>
          </w:p>
        </w:tc>
        <w:tc>
          <w:tcPr>
            <w:tcW w:w="1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bl>
    <w:p>
      <w:pPr>
        <w:sectPr>
          <w:pgSz w:w="11900" w:h="16838" w:orient="portrait"/>
          <w:cols w:equalWidth="0" w:num="1">
            <w:col w:w="10880"/>
          </w:cols>
          <w:pgMar w:left="320" w:top="444" w:right="69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247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155180" cy="24765"/>
                    </a:xfrm>
                    <a:prstGeom prst="rect">
                      <a:avLst/>
                    </a:prstGeom>
                    <a:noFill/>
                  </pic:spPr>
                </pic:pic>
              </a:graphicData>
            </a:graphic>
          </wp:anchor>
        </w:drawing>
      </w:r>
      <w:hyperlink w:anchor="page5">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380" w:type="dxa"/>
        <w:tblCellMar>
          <w:top w:w="0" w:type="dxa"/>
          <w:left w:w="0" w:type="dxa"/>
          <w:bottom w:w="0" w:type="dxa"/>
          <w:right w:w="0" w:type="dxa"/>
        </w:tblCellMar>
      </w:tblPr>
      <w:tr>
        <w:trPr>
          <w:trHeight w:val="217"/>
        </w:trPr>
        <w:tc>
          <w:tcPr>
            <w:tcW w:w="3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Tigran Sinanyan</w:t>
            </w:r>
          </w:p>
        </w:tc>
        <w:tc>
          <w:tcPr>
            <w:tcW w:w="4400" w:type="dxa"/>
            <w:vAlign w:val="bottom"/>
          </w:tcPr>
          <w:p>
            <w:pPr>
              <w:jc w:val="center"/>
              <w:ind w:left="374"/>
              <w:spacing w:after="0"/>
              <w:rPr>
                <w:sz w:val="20"/>
                <w:szCs w:val="20"/>
                <w:color w:val="auto"/>
              </w:rPr>
            </w:pPr>
            <w:r>
              <w:rPr>
                <w:rFonts w:ascii="Arial" w:cs="Arial" w:eastAsia="Arial" w:hAnsi="Arial"/>
                <w:sz w:val="17"/>
                <w:szCs w:val="17"/>
                <w:color w:val="auto"/>
                <w:w w:val="92"/>
              </w:rPr>
              <w:t>Chief Financial Officer and Treasurer</w:t>
            </w:r>
          </w:p>
        </w:tc>
        <w:tc>
          <w:tcPr>
            <w:tcW w:w="1720" w:type="dxa"/>
            <w:vAlign w:val="bottom"/>
          </w:tcPr>
          <w:p>
            <w:pPr>
              <w:ind w:left="440"/>
              <w:spacing w:after="0"/>
              <w:rPr>
                <w:sz w:val="20"/>
                <w:szCs w:val="20"/>
                <w:color w:val="auto"/>
              </w:rPr>
            </w:pPr>
            <w:r>
              <w:rPr>
                <w:rFonts w:ascii="Arial" w:cs="Arial" w:eastAsia="Arial" w:hAnsi="Arial"/>
                <w:sz w:val="17"/>
                <w:szCs w:val="17"/>
                <w:color w:val="auto"/>
                <w:w w:val="90"/>
              </w:rPr>
              <w:t>November 9, 2020</w:t>
            </w:r>
          </w:p>
        </w:tc>
      </w:tr>
      <w:tr>
        <w:trPr>
          <w:trHeight w:val="217"/>
        </w:trPr>
        <w:tc>
          <w:tcPr>
            <w:tcW w:w="3980" w:type="dxa"/>
            <w:vAlign w:val="bottom"/>
          </w:tcPr>
          <w:p>
            <w:pPr>
              <w:spacing w:after="0"/>
              <w:rPr>
                <w:sz w:val="20"/>
                <w:szCs w:val="20"/>
                <w:color w:val="auto"/>
              </w:rPr>
            </w:pPr>
            <w:r>
              <w:rPr>
                <w:rFonts w:ascii="Arial" w:cs="Arial" w:eastAsia="Arial" w:hAnsi="Arial"/>
                <w:sz w:val="17"/>
                <w:szCs w:val="17"/>
                <w:b w:val="1"/>
                <w:bCs w:val="1"/>
                <w:color w:val="auto"/>
              </w:rPr>
              <w:t>Tigran Sinanyan</w:t>
            </w:r>
          </w:p>
        </w:tc>
        <w:tc>
          <w:tcPr>
            <w:tcW w:w="4400" w:type="dxa"/>
            <w:vAlign w:val="bottom"/>
          </w:tcPr>
          <w:p>
            <w:pPr>
              <w:jc w:val="center"/>
              <w:ind w:left="374"/>
              <w:spacing w:after="0"/>
              <w:rPr>
                <w:sz w:val="20"/>
                <w:szCs w:val="20"/>
                <w:color w:val="auto"/>
              </w:rPr>
            </w:pPr>
            <w:r>
              <w:rPr>
                <w:rFonts w:ascii="Arial" w:cs="Arial" w:eastAsia="Arial" w:hAnsi="Arial"/>
                <w:sz w:val="17"/>
                <w:szCs w:val="17"/>
                <w:color w:val="auto"/>
                <w:w w:val="95"/>
              </w:rPr>
              <w:t>(Principal Financial and Accounting Officer)</w:t>
            </w:r>
          </w:p>
        </w:tc>
        <w:tc>
          <w:tcPr>
            <w:tcW w:w="1720" w:type="dxa"/>
            <w:vAlign w:val="bottom"/>
          </w:tcPr>
          <w:p>
            <w:pPr>
              <w:spacing w:after="0"/>
              <w:rPr>
                <w:sz w:val="18"/>
                <w:szCs w:val="18"/>
                <w:color w:val="auto"/>
              </w:rPr>
            </w:pPr>
          </w:p>
        </w:tc>
      </w:tr>
      <w:tr>
        <w:trPr>
          <w:trHeight w:val="407"/>
        </w:trPr>
        <w:tc>
          <w:tcPr>
            <w:tcW w:w="3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Kathy Vrabeck</w:t>
            </w:r>
          </w:p>
        </w:tc>
        <w:tc>
          <w:tcPr>
            <w:tcW w:w="4400" w:type="dxa"/>
            <w:vAlign w:val="bottom"/>
          </w:tcPr>
          <w:p>
            <w:pPr>
              <w:jc w:val="center"/>
              <w:ind w:left="374"/>
              <w:spacing w:after="0"/>
              <w:rPr>
                <w:sz w:val="20"/>
                <w:szCs w:val="20"/>
                <w:color w:val="auto"/>
              </w:rPr>
            </w:pPr>
            <w:r>
              <w:rPr>
                <w:rFonts w:ascii="Arial" w:cs="Arial" w:eastAsia="Arial" w:hAnsi="Arial"/>
                <w:sz w:val="17"/>
                <w:szCs w:val="17"/>
                <w:color w:val="auto"/>
                <w:w w:val="97"/>
              </w:rPr>
              <w:t>Director</w:t>
            </w:r>
          </w:p>
        </w:tc>
        <w:tc>
          <w:tcPr>
            <w:tcW w:w="1720" w:type="dxa"/>
            <w:vAlign w:val="bottom"/>
          </w:tcPr>
          <w:p>
            <w:pPr>
              <w:ind w:left="440"/>
              <w:spacing w:after="0"/>
              <w:rPr>
                <w:sz w:val="20"/>
                <w:szCs w:val="20"/>
                <w:color w:val="auto"/>
              </w:rPr>
            </w:pPr>
            <w:r>
              <w:rPr>
                <w:rFonts w:ascii="Arial" w:cs="Arial" w:eastAsia="Arial" w:hAnsi="Arial"/>
                <w:sz w:val="17"/>
                <w:szCs w:val="17"/>
                <w:color w:val="auto"/>
                <w:w w:val="90"/>
              </w:rPr>
              <w:t>November 9, 2020</w:t>
            </w:r>
          </w:p>
        </w:tc>
      </w:tr>
      <w:tr>
        <w:trPr>
          <w:trHeight w:val="217"/>
        </w:trPr>
        <w:tc>
          <w:tcPr>
            <w:tcW w:w="3980" w:type="dxa"/>
            <w:vAlign w:val="bottom"/>
          </w:tcPr>
          <w:p>
            <w:pPr>
              <w:spacing w:after="0"/>
              <w:rPr>
                <w:sz w:val="20"/>
                <w:szCs w:val="20"/>
                <w:color w:val="auto"/>
              </w:rPr>
            </w:pPr>
            <w:r>
              <w:rPr>
                <w:rFonts w:ascii="Arial" w:cs="Arial" w:eastAsia="Arial" w:hAnsi="Arial"/>
                <w:sz w:val="17"/>
                <w:szCs w:val="17"/>
                <w:b w:val="1"/>
                <w:bCs w:val="1"/>
                <w:color w:val="auto"/>
              </w:rPr>
              <w:t>Kathy Vrabeck</w:t>
            </w:r>
          </w:p>
        </w:tc>
        <w:tc>
          <w:tcPr>
            <w:tcW w:w="44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407"/>
        </w:trPr>
        <w:tc>
          <w:tcPr>
            <w:tcW w:w="3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Anthony Broglio</w:t>
            </w:r>
          </w:p>
        </w:tc>
        <w:tc>
          <w:tcPr>
            <w:tcW w:w="4400" w:type="dxa"/>
            <w:vAlign w:val="bottom"/>
          </w:tcPr>
          <w:p>
            <w:pPr>
              <w:jc w:val="center"/>
              <w:ind w:left="374"/>
              <w:spacing w:after="0"/>
              <w:rPr>
                <w:sz w:val="20"/>
                <w:szCs w:val="20"/>
                <w:color w:val="auto"/>
              </w:rPr>
            </w:pPr>
            <w:r>
              <w:rPr>
                <w:rFonts w:ascii="Arial" w:cs="Arial" w:eastAsia="Arial" w:hAnsi="Arial"/>
                <w:sz w:val="17"/>
                <w:szCs w:val="17"/>
                <w:color w:val="auto"/>
                <w:w w:val="97"/>
              </w:rPr>
              <w:t>Director</w:t>
            </w:r>
          </w:p>
        </w:tc>
        <w:tc>
          <w:tcPr>
            <w:tcW w:w="1720" w:type="dxa"/>
            <w:vAlign w:val="bottom"/>
          </w:tcPr>
          <w:p>
            <w:pPr>
              <w:ind w:left="440"/>
              <w:spacing w:after="0"/>
              <w:rPr>
                <w:sz w:val="20"/>
                <w:szCs w:val="20"/>
                <w:color w:val="auto"/>
              </w:rPr>
            </w:pPr>
            <w:r>
              <w:rPr>
                <w:rFonts w:ascii="Arial" w:cs="Arial" w:eastAsia="Arial" w:hAnsi="Arial"/>
                <w:sz w:val="17"/>
                <w:szCs w:val="17"/>
                <w:color w:val="auto"/>
                <w:w w:val="90"/>
              </w:rPr>
              <w:t>November 9, 2020</w:t>
            </w:r>
          </w:p>
        </w:tc>
      </w:tr>
      <w:tr>
        <w:trPr>
          <w:trHeight w:val="217"/>
        </w:trPr>
        <w:tc>
          <w:tcPr>
            <w:tcW w:w="3980" w:type="dxa"/>
            <w:vAlign w:val="bottom"/>
          </w:tcPr>
          <w:p>
            <w:pPr>
              <w:spacing w:after="0"/>
              <w:rPr>
                <w:sz w:val="20"/>
                <w:szCs w:val="20"/>
                <w:color w:val="auto"/>
              </w:rPr>
            </w:pPr>
            <w:r>
              <w:rPr>
                <w:rFonts w:ascii="Arial" w:cs="Arial" w:eastAsia="Arial" w:hAnsi="Arial"/>
                <w:sz w:val="17"/>
                <w:szCs w:val="17"/>
                <w:b w:val="1"/>
                <w:bCs w:val="1"/>
                <w:color w:val="auto"/>
              </w:rPr>
              <w:t>Anthony Broglio</w:t>
            </w:r>
          </w:p>
        </w:tc>
        <w:tc>
          <w:tcPr>
            <w:tcW w:w="44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407"/>
        </w:trPr>
        <w:tc>
          <w:tcPr>
            <w:tcW w:w="3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Christopher Delehanty</w:t>
            </w:r>
          </w:p>
        </w:tc>
        <w:tc>
          <w:tcPr>
            <w:tcW w:w="4400" w:type="dxa"/>
            <w:vAlign w:val="bottom"/>
          </w:tcPr>
          <w:p>
            <w:pPr>
              <w:jc w:val="center"/>
              <w:ind w:left="374"/>
              <w:spacing w:after="0"/>
              <w:rPr>
                <w:sz w:val="20"/>
                <w:szCs w:val="20"/>
                <w:color w:val="auto"/>
              </w:rPr>
            </w:pPr>
            <w:r>
              <w:rPr>
                <w:rFonts w:ascii="Arial" w:cs="Arial" w:eastAsia="Arial" w:hAnsi="Arial"/>
                <w:sz w:val="17"/>
                <w:szCs w:val="17"/>
                <w:color w:val="auto"/>
                <w:w w:val="97"/>
              </w:rPr>
              <w:t>Director</w:t>
            </w:r>
          </w:p>
        </w:tc>
        <w:tc>
          <w:tcPr>
            <w:tcW w:w="1720" w:type="dxa"/>
            <w:vAlign w:val="bottom"/>
          </w:tcPr>
          <w:p>
            <w:pPr>
              <w:ind w:left="440"/>
              <w:spacing w:after="0"/>
              <w:rPr>
                <w:sz w:val="20"/>
                <w:szCs w:val="20"/>
                <w:color w:val="auto"/>
              </w:rPr>
            </w:pPr>
            <w:r>
              <w:rPr>
                <w:rFonts w:ascii="Arial" w:cs="Arial" w:eastAsia="Arial" w:hAnsi="Arial"/>
                <w:sz w:val="17"/>
                <w:szCs w:val="17"/>
                <w:color w:val="auto"/>
                <w:w w:val="90"/>
              </w:rPr>
              <w:t>November 9, 2020</w:t>
            </w:r>
          </w:p>
        </w:tc>
      </w:tr>
      <w:tr>
        <w:trPr>
          <w:trHeight w:val="217"/>
        </w:trPr>
        <w:tc>
          <w:tcPr>
            <w:tcW w:w="3980" w:type="dxa"/>
            <w:vAlign w:val="bottom"/>
          </w:tcPr>
          <w:p>
            <w:pPr>
              <w:spacing w:after="0"/>
              <w:rPr>
                <w:sz w:val="20"/>
                <w:szCs w:val="20"/>
                <w:color w:val="auto"/>
              </w:rPr>
            </w:pPr>
            <w:r>
              <w:rPr>
                <w:rFonts w:ascii="Arial" w:cs="Arial" w:eastAsia="Arial" w:hAnsi="Arial"/>
                <w:sz w:val="17"/>
                <w:szCs w:val="17"/>
                <w:b w:val="1"/>
                <w:bCs w:val="1"/>
                <w:color w:val="auto"/>
              </w:rPr>
              <w:t>Christopher Delehanty</w:t>
            </w:r>
          </w:p>
        </w:tc>
        <w:tc>
          <w:tcPr>
            <w:tcW w:w="44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407"/>
        </w:trPr>
        <w:tc>
          <w:tcPr>
            <w:tcW w:w="3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David Lowe</w:t>
            </w:r>
          </w:p>
        </w:tc>
        <w:tc>
          <w:tcPr>
            <w:tcW w:w="4400" w:type="dxa"/>
            <w:vAlign w:val="bottom"/>
          </w:tcPr>
          <w:p>
            <w:pPr>
              <w:jc w:val="center"/>
              <w:ind w:left="374"/>
              <w:spacing w:after="0"/>
              <w:rPr>
                <w:sz w:val="20"/>
                <w:szCs w:val="20"/>
                <w:color w:val="auto"/>
              </w:rPr>
            </w:pPr>
            <w:r>
              <w:rPr>
                <w:rFonts w:ascii="Arial" w:cs="Arial" w:eastAsia="Arial" w:hAnsi="Arial"/>
                <w:sz w:val="17"/>
                <w:szCs w:val="17"/>
                <w:color w:val="auto"/>
                <w:w w:val="97"/>
              </w:rPr>
              <w:t>Director</w:t>
            </w:r>
          </w:p>
        </w:tc>
        <w:tc>
          <w:tcPr>
            <w:tcW w:w="1720" w:type="dxa"/>
            <w:vAlign w:val="bottom"/>
          </w:tcPr>
          <w:p>
            <w:pPr>
              <w:ind w:left="440"/>
              <w:spacing w:after="0"/>
              <w:rPr>
                <w:sz w:val="20"/>
                <w:szCs w:val="20"/>
                <w:color w:val="auto"/>
              </w:rPr>
            </w:pPr>
            <w:r>
              <w:rPr>
                <w:rFonts w:ascii="Arial" w:cs="Arial" w:eastAsia="Arial" w:hAnsi="Arial"/>
                <w:sz w:val="17"/>
                <w:szCs w:val="17"/>
                <w:color w:val="auto"/>
                <w:w w:val="90"/>
              </w:rPr>
              <w:t>November 9, 2020</w:t>
            </w:r>
          </w:p>
        </w:tc>
      </w:tr>
      <w:tr>
        <w:trPr>
          <w:trHeight w:val="217"/>
        </w:trPr>
        <w:tc>
          <w:tcPr>
            <w:tcW w:w="3980" w:type="dxa"/>
            <w:vAlign w:val="bottom"/>
          </w:tcPr>
          <w:p>
            <w:pPr>
              <w:spacing w:after="0"/>
              <w:rPr>
                <w:sz w:val="20"/>
                <w:szCs w:val="20"/>
                <w:color w:val="auto"/>
              </w:rPr>
            </w:pPr>
            <w:r>
              <w:rPr>
                <w:rFonts w:ascii="Arial" w:cs="Arial" w:eastAsia="Arial" w:hAnsi="Arial"/>
                <w:sz w:val="17"/>
                <w:szCs w:val="17"/>
                <w:b w:val="1"/>
                <w:bCs w:val="1"/>
                <w:color w:val="auto"/>
              </w:rPr>
              <w:t>David Lowe</w:t>
            </w:r>
          </w:p>
        </w:tc>
        <w:tc>
          <w:tcPr>
            <w:tcW w:w="44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407"/>
        </w:trPr>
        <w:tc>
          <w:tcPr>
            <w:tcW w:w="3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Jennifer Moyer</w:t>
            </w:r>
          </w:p>
        </w:tc>
        <w:tc>
          <w:tcPr>
            <w:tcW w:w="4400" w:type="dxa"/>
            <w:vAlign w:val="bottom"/>
          </w:tcPr>
          <w:p>
            <w:pPr>
              <w:jc w:val="center"/>
              <w:ind w:left="374"/>
              <w:spacing w:after="0"/>
              <w:rPr>
                <w:sz w:val="20"/>
                <w:szCs w:val="20"/>
                <w:color w:val="auto"/>
              </w:rPr>
            </w:pPr>
            <w:r>
              <w:rPr>
                <w:rFonts w:ascii="Arial" w:cs="Arial" w:eastAsia="Arial" w:hAnsi="Arial"/>
                <w:sz w:val="17"/>
                <w:szCs w:val="17"/>
                <w:color w:val="auto"/>
                <w:w w:val="97"/>
              </w:rPr>
              <w:t>Director</w:t>
            </w:r>
          </w:p>
        </w:tc>
        <w:tc>
          <w:tcPr>
            <w:tcW w:w="1720" w:type="dxa"/>
            <w:vAlign w:val="bottom"/>
          </w:tcPr>
          <w:p>
            <w:pPr>
              <w:ind w:left="440"/>
              <w:spacing w:after="0"/>
              <w:rPr>
                <w:sz w:val="20"/>
                <w:szCs w:val="20"/>
                <w:color w:val="auto"/>
              </w:rPr>
            </w:pPr>
            <w:r>
              <w:rPr>
                <w:rFonts w:ascii="Arial" w:cs="Arial" w:eastAsia="Arial" w:hAnsi="Arial"/>
                <w:sz w:val="17"/>
                <w:szCs w:val="17"/>
                <w:color w:val="auto"/>
                <w:w w:val="90"/>
              </w:rPr>
              <w:t>November 9, 2020</w:t>
            </w:r>
          </w:p>
        </w:tc>
      </w:tr>
      <w:tr>
        <w:trPr>
          <w:trHeight w:val="217"/>
        </w:trPr>
        <w:tc>
          <w:tcPr>
            <w:tcW w:w="3980" w:type="dxa"/>
            <w:vAlign w:val="bottom"/>
          </w:tcPr>
          <w:p>
            <w:pPr>
              <w:spacing w:after="0"/>
              <w:rPr>
                <w:sz w:val="20"/>
                <w:szCs w:val="20"/>
                <w:color w:val="auto"/>
              </w:rPr>
            </w:pPr>
            <w:r>
              <w:rPr>
                <w:rFonts w:ascii="Arial" w:cs="Arial" w:eastAsia="Arial" w:hAnsi="Arial"/>
                <w:sz w:val="17"/>
                <w:szCs w:val="17"/>
                <w:b w:val="1"/>
                <w:bCs w:val="1"/>
                <w:color w:val="auto"/>
              </w:rPr>
              <w:t>Jennifer Moyer</w:t>
            </w:r>
          </w:p>
        </w:tc>
        <w:tc>
          <w:tcPr>
            <w:tcW w:w="44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407"/>
        </w:trPr>
        <w:tc>
          <w:tcPr>
            <w:tcW w:w="3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Lara Sweet</w:t>
            </w:r>
          </w:p>
        </w:tc>
        <w:tc>
          <w:tcPr>
            <w:tcW w:w="4400" w:type="dxa"/>
            <w:vAlign w:val="bottom"/>
          </w:tcPr>
          <w:p>
            <w:pPr>
              <w:jc w:val="center"/>
              <w:ind w:left="374"/>
              <w:spacing w:after="0"/>
              <w:rPr>
                <w:sz w:val="20"/>
                <w:szCs w:val="20"/>
                <w:color w:val="auto"/>
              </w:rPr>
            </w:pPr>
            <w:r>
              <w:rPr>
                <w:rFonts w:ascii="Arial" w:cs="Arial" w:eastAsia="Arial" w:hAnsi="Arial"/>
                <w:sz w:val="17"/>
                <w:szCs w:val="17"/>
                <w:color w:val="auto"/>
                <w:w w:val="97"/>
              </w:rPr>
              <w:t>Director</w:t>
            </w:r>
          </w:p>
        </w:tc>
        <w:tc>
          <w:tcPr>
            <w:tcW w:w="1720" w:type="dxa"/>
            <w:vAlign w:val="bottom"/>
          </w:tcPr>
          <w:p>
            <w:pPr>
              <w:ind w:left="440"/>
              <w:spacing w:after="0"/>
              <w:rPr>
                <w:sz w:val="20"/>
                <w:szCs w:val="20"/>
                <w:color w:val="auto"/>
              </w:rPr>
            </w:pPr>
            <w:r>
              <w:rPr>
                <w:rFonts w:ascii="Arial" w:cs="Arial" w:eastAsia="Arial" w:hAnsi="Arial"/>
                <w:sz w:val="17"/>
                <w:szCs w:val="17"/>
                <w:color w:val="auto"/>
                <w:w w:val="90"/>
              </w:rPr>
              <w:t>November 9, 2020</w:t>
            </w:r>
          </w:p>
        </w:tc>
      </w:tr>
      <w:tr>
        <w:trPr>
          <w:trHeight w:val="217"/>
        </w:trPr>
        <w:tc>
          <w:tcPr>
            <w:tcW w:w="3980" w:type="dxa"/>
            <w:vAlign w:val="bottom"/>
          </w:tcPr>
          <w:p>
            <w:pPr>
              <w:spacing w:after="0"/>
              <w:rPr>
                <w:sz w:val="20"/>
                <w:szCs w:val="20"/>
                <w:color w:val="auto"/>
              </w:rPr>
            </w:pPr>
            <w:r>
              <w:rPr>
                <w:rFonts w:ascii="Arial" w:cs="Arial" w:eastAsia="Arial" w:hAnsi="Arial"/>
                <w:sz w:val="17"/>
                <w:szCs w:val="17"/>
                <w:b w:val="1"/>
                <w:bCs w:val="1"/>
                <w:color w:val="auto"/>
              </w:rPr>
              <w:t>Lara Sweet</w:t>
            </w:r>
          </w:p>
        </w:tc>
        <w:tc>
          <w:tcPr>
            <w:tcW w:w="44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407"/>
        </w:trPr>
        <w:tc>
          <w:tcPr>
            <w:tcW w:w="3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Venmal (Raji) Arasu</w:t>
            </w:r>
          </w:p>
        </w:tc>
        <w:tc>
          <w:tcPr>
            <w:tcW w:w="4400" w:type="dxa"/>
            <w:vAlign w:val="bottom"/>
          </w:tcPr>
          <w:p>
            <w:pPr>
              <w:jc w:val="center"/>
              <w:ind w:left="374"/>
              <w:spacing w:after="0"/>
              <w:rPr>
                <w:sz w:val="20"/>
                <w:szCs w:val="20"/>
                <w:color w:val="auto"/>
              </w:rPr>
            </w:pPr>
            <w:r>
              <w:rPr>
                <w:rFonts w:ascii="Arial" w:cs="Arial" w:eastAsia="Arial" w:hAnsi="Arial"/>
                <w:sz w:val="17"/>
                <w:szCs w:val="17"/>
                <w:color w:val="auto"/>
                <w:w w:val="97"/>
              </w:rPr>
              <w:t>Director</w:t>
            </w:r>
          </w:p>
        </w:tc>
        <w:tc>
          <w:tcPr>
            <w:tcW w:w="1720" w:type="dxa"/>
            <w:vAlign w:val="bottom"/>
          </w:tcPr>
          <w:p>
            <w:pPr>
              <w:ind w:left="440"/>
              <w:spacing w:after="0"/>
              <w:rPr>
                <w:sz w:val="20"/>
                <w:szCs w:val="20"/>
                <w:color w:val="auto"/>
              </w:rPr>
            </w:pPr>
            <w:r>
              <w:rPr>
                <w:rFonts w:ascii="Arial" w:cs="Arial" w:eastAsia="Arial" w:hAnsi="Arial"/>
                <w:sz w:val="17"/>
                <w:szCs w:val="17"/>
                <w:color w:val="auto"/>
                <w:w w:val="90"/>
              </w:rPr>
              <w:t>November 9, 2020</w:t>
            </w:r>
          </w:p>
        </w:tc>
      </w:tr>
      <w:tr>
        <w:trPr>
          <w:trHeight w:val="217"/>
        </w:trPr>
        <w:tc>
          <w:tcPr>
            <w:tcW w:w="3980" w:type="dxa"/>
            <w:vAlign w:val="bottom"/>
          </w:tcPr>
          <w:p>
            <w:pPr>
              <w:spacing w:after="0"/>
              <w:rPr>
                <w:sz w:val="20"/>
                <w:szCs w:val="20"/>
                <w:color w:val="auto"/>
              </w:rPr>
            </w:pPr>
            <w:r>
              <w:rPr>
                <w:rFonts w:ascii="Arial" w:cs="Arial" w:eastAsia="Arial" w:hAnsi="Arial"/>
                <w:sz w:val="17"/>
                <w:szCs w:val="17"/>
                <w:b w:val="1"/>
                <w:bCs w:val="1"/>
                <w:color w:val="auto"/>
              </w:rPr>
              <w:t>Venmal (Raji) Arasu</w:t>
            </w:r>
          </w:p>
        </w:tc>
        <w:tc>
          <w:tcPr>
            <w:tcW w:w="4400" w:type="dxa"/>
            <w:vAlign w:val="bottom"/>
          </w:tcPr>
          <w:p>
            <w:pPr>
              <w:spacing w:after="0"/>
              <w:rPr>
                <w:sz w:val="18"/>
                <w:szCs w:val="18"/>
                <w:color w:val="auto"/>
              </w:rPr>
            </w:pPr>
          </w:p>
        </w:tc>
        <w:tc>
          <w:tcPr>
            <w:tcW w:w="1720" w:type="dxa"/>
            <w:vAlign w:val="bottom"/>
          </w:tcPr>
          <w:p>
            <w:pPr>
              <w:spacing w:after="0"/>
              <w:rPr>
                <w:sz w:val="18"/>
                <w:szCs w:val="18"/>
                <w:color w:val="auto"/>
              </w:rPr>
            </w:pPr>
          </w:p>
        </w:tc>
      </w:tr>
    </w:tbl>
    <w:p>
      <w:pPr>
        <w:sectPr>
          <w:pgSz w:w="11900" w:h="16838" w:orient="portrait"/>
          <w:cols w:equalWidth="0" w:num="1">
            <w:col w:w="10480"/>
          </w:cols>
          <w:pgMar w:left="320" w:top="444" w:right="1099" w:bottom="1440" w:gutter="0" w:footer="0" w:header="0"/>
        </w:sectPr>
      </w:pPr>
    </w:p>
    <w:bookmarkStart w:id="27" w:name="page28"/>
    <w:bookmarkEnd w:id="27"/>
    <w:p>
      <w:pPr>
        <w:jc w:val="right"/>
        <w:spacing w:after="0"/>
        <w:rPr>
          <w:sz w:val="20"/>
          <w:szCs w:val="20"/>
          <w:color w:val="auto"/>
        </w:rPr>
      </w:pPr>
      <w:r>
        <w:rPr>
          <w:rFonts w:ascii="Arial" w:cs="Arial" w:eastAsia="Arial" w:hAnsi="Arial"/>
          <w:sz w:val="17"/>
          <w:szCs w:val="17"/>
          <w:b w:val="1"/>
          <w:bCs w:val="1"/>
          <w:color w:val="auto"/>
        </w:rPr>
        <w:t>Exhibit 4.2</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EXECUTION COPY</w:t>
      </w:r>
    </w:p>
    <w:p>
      <w:pPr>
        <w:spacing w:after="0" w:line="211"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QL HOLDINGS LLC</w:t>
      </w:r>
    </w:p>
    <w:p>
      <w:pPr>
        <w:spacing w:after="0" w:line="217"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2014 Class B Restricted Unit Plan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GENERAL PURPOSE OF THE PLAN; RECITALS</w:t>
      </w:r>
    </w:p>
    <w:p>
      <w:pPr>
        <w:spacing w:after="0" w:line="114" w:lineRule="exact"/>
        <w:rPr>
          <w:sz w:val="20"/>
          <w:szCs w:val="20"/>
          <w:color w:val="auto"/>
        </w:rPr>
      </w:pPr>
    </w:p>
    <w:p>
      <w:pPr>
        <w:ind w:right="260" w:firstLine="946"/>
        <w:spacing w:after="0" w:line="317" w:lineRule="auto"/>
        <w:rPr>
          <w:sz w:val="20"/>
          <w:szCs w:val="20"/>
          <w:color w:val="auto"/>
        </w:rPr>
      </w:pPr>
      <w:r>
        <w:rPr>
          <w:rFonts w:ascii="Arial" w:cs="Arial" w:eastAsia="Arial" w:hAnsi="Arial"/>
          <w:sz w:val="15"/>
          <w:szCs w:val="15"/>
          <w:color w:val="auto"/>
        </w:rPr>
        <w:t xml:space="preserve">The name of the plan is the QL Holdings LLC 2014 Class B Restricted Unit Plan (the </w:t>
      </w:r>
      <w:r>
        <w:rPr>
          <w:rFonts w:ascii="Arial" w:cs="Arial" w:eastAsia="Arial" w:hAnsi="Arial"/>
          <w:sz w:val="15"/>
          <w:szCs w:val="15"/>
          <w:i w:val="1"/>
          <w:iCs w:val="1"/>
          <w:color w:val="auto"/>
        </w:rPr>
        <w:t>“</w:t>
      </w:r>
      <w:r>
        <w:rPr>
          <w:rFonts w:ascii="Arial" w:cs="Arial" w:eastAsia="Arial" w:hAnsi="Arial"/>
          <w:sz w:val="15"/>
          <w:szCs w:val="15"/>
          <w:i w:val="1"/>
          <w:iCs w:val="1"/>
          <w:u w:val="single" w:color="auto"/>
          <w:color w:val="auto"/>
        </w:rPr>
        <w:t>Plan</w:t>
      </w:r>
      <w:r>
        <w:rPr>
          <w:rFonts w:ascii="Arial" w:cs="Arial" w:eastAsia="Arial" w:hAnsi="Arial"/>
          <w:sz w:val="15"/>
          <w:szCs w:val="15"/>
          <w:i w:val="1"/>
          <w:iCs w:val="1"/>
          <w:color w:val="auto"/>
        </w:rPr>
        <w:t>”).</w:t>
      </w:r>
      <w:r>
        <w:rPr>
          <w:rFonts w:ascii="Arial" w:cs="Arial" w:eastAsia="Arial" w:hAnsi="Arial"/>
          <w:sz w:val="15"/>
          <w:szCs w:val="15"/>
          <w:color w:val="auto"/>
        </w:rPr>
        <w:t xml:space="preserve"> The purpose of the Plan is to encourage and enable select Service Providers (as defined below) of QL Holdings LLC, a Delaware limited liability company (the </w:t>
      </w:r>
      <w:r>
        <w:rPr>
          <w:rFonts w:ascii="Arial" w:cs="Arial" w:eastAsia="Arial" w:hAnsi="Arial"/>
          <w:sz w:val="15"/>
          <w:szCs w:val="15"/>
          <w:i w:val="1"/>
          <w:iCs w:val="1"/>
          <w:color w:val="auto"/>
        </w:rPr>
        <w:t>“</w:t>
      </w:r>
      <w:r>
        <w:rPr>
          <w:rFonts w:ascii="Arial" w:cs="Arial" w:eastAsia="Arial" w:hAnsi="Arial"/>
          <w:sz w:val="15"/>
          <w:szCs w:val="15"/>
          <w:i w:val="1"/>
          <w:iCs w:val="1"/>
          <w:u w:val="single" w:color="auto"/>
          <w:color w:val="auto"/>
        </w:rPr>
        <w:t>Company</w:t>
      </w:r>
      <w:r>
        <w:rPr>
          <w:rFonts w:ascii="Arial" w:cs="Arial" w:eastAsia="Arial" w:hAnsi="Arial"/>
          <w:sz w:val="15"/>
          <w:szCs w:val="15"/>
          <w:i w:val="1"/>
          <w:iCs w:val="1"/>
          <w:color w:val="auto"/>
        </w:rPr>
        <w:t>”)</w:t>
      </w:r>
      <w:r>
        <w:rPr>
          <w:rFonts w:ascii="Arial" w:cs="Arial" w:eastAsia="Arial" w:hAnsi="Arial"/>
          <w:sz w:val="15"/>
          <w:szCs w:val="15"/>
          <w:color w:val="auto"/>
        </w:rPr>
        <w:t xml:space="preserve"> and its Subsidiaries whose future efforts are deemed to be of importance to the Company, to acquire a proprietary, profits-based interest in the Company.</w:t>
      </w:r>
    </w:p>
    <w:p>
      <w:pPr>
        <w:spacing w:after="0" w:line="141" w:lineRule="exact"/>
        <w:rPr>
          <w:sz w:val="20"/>
          <w:szCs w:val="20"/>
          <w:color w:val="auto"/>
        </w:rPr>
      </w:pPr>
    </w:p>
    <w:p>
      <w:pPr>
        <w:ind w:right="60" w:firstLine="946"/>
        <w:spacing w:after="0" w:line="279" w:lineRule="auto"/>
        <w:rPr>
          <w:sz w:val="20"/>
          <w:szCs w:val="20"/>
          <w:color w:val="auto"/>
        </w:rPr>
      </w:pPr>
      <w:r>
        <w:rPr>
          <w:rFonts w:ascii="Arial" w:cs="Arial" w:eastAsia="Arial" w:hAnsi="Arial"/>
          <w:sz w:val="17"/>
          <w:szCs w:val="17"/>
          <w:color w:val="auto"/>
        </w:rPr>
        <w:t>Capitalized terms used herein but not otherwise defined shall have the respective meanings attributed to such terms in the LLC Agreement of the Company (as defined herein).</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DEFINITIONS</w:t>
      </w:r>
    </w:p>
    <w:p>
      <w:pPr>
        <w:spacing w:after="0" w:line="114" w:lineRule="exact"/>
        <w:rPr>
          <w:sz w:val="20"/>
          <w:szCs w:val="20"/>
          <w:color w:val="auto"/>
        </w:rPr>
      </w:pPr>
    </w:p>
    <w:p>
      <w:pPr>
        <w:ind w:left="940"/>
        <w:spacing w:after="0"/>
        <w:rPr>
          <w:sz w:val="20"/>
          <w:szCs w:val="20"/>
          <w:color w:val="auto"/>
        </w:rPr>
      </w:pPr>
      <w:r>
        <w:rPr>
          <w:rFonts w:ascii="Arial" w:cs="Arial" w:eastAsia="Arial" w:hAnsi="Arial"/>
          <w:sz w:val="17"/>
          <w:szCs w:val="17"/>
          <w:color w:val="auto"/>
        </w:rPr>
        <w:t>The following terms shall be defined as set forth below:</w:t>
      </w:r>
    </w:p>
    <w:p>
      <w:pPr>
        <w:spacing w:after="0" w:line="217" w:lineRule="exact"/>
        <w:rPr>
          <w:sz w:val="20"/>
          <w:szCs w:val="20"/>
          <w:color w:val="auto"/>
        </w:rPr>
      </w:pPr>
    </w:p>
    <w:p>
      <w:pPr>
        <w:ind w:left="420" w:right="60" w:firstLine="403"/>
        <w:spacing w:after="0" w:line="279" w:lineRule="auto"/>
        <w:rPr>
          <w:sz w:val="20"/>
          <w:szCs w:val="20"/>
          <w:color w:val="auto"/>
        </w:rPr>
      </w:pPr>
      <w:r>
        <w:rPr>
          <w:rFonts w:ascii="Arial" w:cs="Arial" w:eastAsia="Arial" w:hAnsi="Arial"/>
          <w:sz w:val="17"/>
          <w:szCs w:val="17"/>
          <w:i w:val="1"/>
          <w:iCs w:val="1"/>
          <w:color w:val="auto"/>
        </w:rPr>
        <w:t>“</w:t>
      </w:r>
      <w:r>
        <w:rPr>
          <w:rFonts w:ascii="Arial" w:cs="Arial" w:eastAsia="Arial" w:hAnsi="Arial"/>
          <w:sz w:val="17"/>
          <w:szCs w:val="17"/>
          <w:i w:val="1"/>
          <w:iCs w:val="1"/>
          <w:u w:val="single" w:color="auto"/>
          <w:color w:val="auto"/>
        </w:rPr>
        <w:t>Affiliate</w:t>
      </w:r>
      <w:r>
        <w:rPr>
          <w:rFonts w:ascii="Arial" w:cs="Arial" w:eastAsia="Arial" w:hAnsi="Arial"/>
          <w:sz w:val="17"/>
          <w:szCs w:val="17"/>
          <w:i w:val="1"/>
          <w:iCs w:val="1"/>
          <w:color w:val="auto"/>
        </w:rPr>
        <w:t xml:space="preserve">” </w:t>
      </w:r>
      <w:r>
        <w:rPr>
          <w:rFonts w:ascii="Arial" w:cs="Arial" w:eastAsia="Arial" w:hAnsi="Arial"/>
          <w:sz w:val="17"/>
          <w:szCs w:val="17"/>
          <w:color w:val="auto"/>
        </w:rPr>
        <w:t>of any Person (the “</w:t>
      </w:r>
      <w:r>
        <w:rPr>
          <w:rFonts w:ascii="Arial" w:cs="Arial" w:eastAsia="Arial" w:hAnsi="Arial"/>
          <w:sz w:val="17"/>
          <w:szCs w:val="17"/>
          <w:i w:val="1"/>
          <w:iCs w:val="1"/>
          <w:u w:val="single" w:color="auto"/>
          <w:color w:val="auto"/>
        </w:rPr>
        <w:t>Subject</w:t>
      </w:r>
      <w:r>
        <w:rPr>
          <w:rFonts w:ascii="Arial" w:cs="Arial" w:eastAsia="Arial" w:hAnsi="Arial"/>
          <w:sz w:val="17"/>
          <w:szCs w:val="17"/>
          <w:color w:val="auto"/>
        </w:rPr>
        <w:t>”) means any other Person that, directly or indirectly, controls or is controlled by or is under common</w:t>
      </w:r>
      <w:r>
        <w:rPr>
          <w:rFonts w:ascii="Arial" w:cs="Arial" w:eastAsia="Arial" w:hAnsi="Arial"/>
          <w:sz w:val="17"/>
          <w:szCs w:val="17"/>
          <w:i w:val="1"/>
          <w:iCs w:val="1"/>
          <w:color w:val="auto"/>
        </w:rPr>
        <w:t xml:space="preserve"> </w:t>
      </w:r>
      <w:r>
        <w:rPr>
          <w:rFonts w:ascii="Arial" w:cs="Arial" w:eastAsia="Arial" w:hAnsi="Arial"/>
          <w:sz w:val="17"/>
          <w:szCs w:val="17"/>
          <w:color w:val="auto"/>
        </w:rPr>
        <w:t>control with the Subject.</w:t>
      </w:r>
    </w:p>
    <w:p>
      <w:pPr>
        <w:spacing w:after="0" w:line="164" w:lineRule="exact"/>
        <w:rPr>
          <w:sz w:val="20"/>
          <w:szCs w:val="20"/>
          <w:color w:val="auto"/>
        </w:rPr>
      </w:pPr>
    </w:p>
    <w:p>
      <w:pPr>
        <w:ind w:right="380" w:firstLine="946"/>
        <w:spacing w:after="0" w:line="279" w:lineRule="auto"/>
        <w:rPr>
          <w:sz w:val="20"/>
          <w:szCs w:val="20"/>
          <w:color w:val="auto"/>
        </w:rPr>
      </w:pPr>
      <w:r>
        <w:rPr>
          <w:rFonts w:ascii="Arial" w:cs="Arial" w:eastAsia="Arial" w:hAnsi="Arial"/>
          <w:sz w:val="17"/>
          <w:szCs w:val="17"/>
          <w:i w:val="1"/>
          <w:iCs w:val="1"/>
          <w:u w:val="single" w:color="auto"/>
          <w:color w:val="auto"/>
        </w:rPr>
        <w:t>“Award”</w:t>
      </w:r>
      <w:r>
        <w:rPr>
          <w:rFonts w:ascii="Arial" w:cs="Arial" w:eastAsia="Arial" w:hAnsi="Arial"/>
          <w:sz w:val="17"/>
          <w:szCs w:val="17"/>
          <w:i w:val="1"/>
          <w:iCs w:val="1"/>
          <w:color w:val="auto"/>
        </w:rPr>
        <w:t xml:space="preserve"> or “</w:t>
      </w:r>
      <w:r>
        <w:rPr>
          <w:rFonts w:ascii="Arial" w:cs="Arial" w:eastAsia="Arial" w:hAnsi="Arial"/>
          <w:sz w:val="17"/>
          <w:szCs w:val="17"/>
          <w:i w:val="1"/>
          <w:iCs w:val="1"/>
          <w:u w:val="single" w:color="auto"/>
          <w:color w:val="auto"/>
        </w:rPr>
        <w:t>Restricted Unit Award</w:t>
      </w:r>
      <w:r>
        <w:rPr>
          <w:rFonts w:ascii="Arial" w:cs="Arial" w:eastAsia="Arial" w:hAnsi="Arial"/>
          <w:sz w:val="17"/>
          <w:szCs w:val="17"/>
          <w:i w:val="1"/>
          <w:iCs w:val="1"/>
          <w:color w:val="auto"/>
        </w:rPr>
        <w:t xml:space="preserve">” </w:t>
      </w:r>
      <w:r>
        <w:rPr>
          <w:rFonts w:ascii="Arial" w:cs="Arial" w:eastAsia="Arial" w:hAnsi="Arial"/>
          <w:sz w:val="17"/>
          <w:szCs w:val="17"/>
          <w:color w:val="auto"/>
        </w:rPr>
        <w:t>means a grant of a Restricted Unit pursuant to a written agreement between the Company and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Grantee in substantially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64" w:lineRule="exact"/>
        <w:rPr>
          <w:sz w:val="20"/>
          <w:szCs w:val="20"/>
          <w:color w:val="auto"/>
        </w:rPr>
      </w:pPr>
    </w:p>
    <w:p>
      <w:pPr>
        <w:ind w:left="940"/>
        <w:spacing w:after="0"/>
        <w:rPr>
          <w:sz w:val="20"/>
          <w:szCs w:val="20"/>
          <w:color w:val="auto"/>
        </w:rPr>
      </w:pPr>
      <w:r>
        <w:rPr>
          <w:rFonts w:ascii="Arial" w:cs="Arial" w:eastAsia="Arial" w:hAnsi="Arial"/>
          <w:sz w:val="15"/>
          <w:szCs w:val="15"/>
          <w:i w:val="1"/>
          <w:iCs w:val="1"/>
          <w:color w:val="auto"/>
        </w:rPr>
        <w:t>“</w:t>
      </w:r>
      <w:r>
        <w:rPr>
          <w:rFonts w:ascii="Arial" w:cs="Arial" w:eastAsia="Arial" w:hAnsi="Arial"/>
          <w:sz w:val="15"/>
          <w:szCs w:val="15"/>
          <w:i w:val="1"/>
          <w:iCs w:val="1"/>
          <w:u w:val="single" w:color="auto"/>
          <w:color w:val="auto"/>
        </w:rPr>
        <w:t>Board</w:t>
      </w:r>
      <w:r>
        <w:rPr>
          <w:rFonts w:ascii="Arial" w:cs="Arial" w:eastAsia="Arial" w:hAnsi="Arial"/>
          <w:sz w:val="15"/>
          <w:szCs w:val="15"/>
          <w:i w:val="1"/>
          <w:iCs w:val="1"/>
          <w:color w:val="auto"/>
        </w:rPr>
        <w:t xml:space="preserve">” </w:t>
      </w:r>
      <w:r>
        <w:rPr>
          <w:rFonts w:ascii="Arial" w:cs="Arial" w:eastAsia="Arial" w:hAnsi="Arial"/>
          <w:sz w:val="15"/>
          <w:szCs w:val="15"/>
          <w:color w:val="auto"/>
        </w:rPr>
        <w:t>means the Board of Directors of the Company or the board of managers or other similar governing body of any successor to the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Company.</w:t>
      </w:r>
    </w:p>
    <w:p>
      <w:pPr>
        <w:spacing w:after="0" w:line="206" w:lineRule="exact"/>
        <w:rPr>
          <w:sz w:val="20"/>
          <w:szCs w:val="20"/>
          <w:color w:val="auto"/>
        </w:rPr>
      </w:pPr>
    </w:p>
    <w:p>
      <w:pPr>
        <w:ind w:left="940"/>
        <w:spacing w:after="0"/>
        <w:rPr>
          <w:sz w:val="20"/>
          <w:szCs w:val="20"/>
          <w:color w:val="auto"/>
        </w:rPr>
      </w:pPr>
      <w:r>
        <w:rPr>
          <w:rFonts w:ascii="Arial" w:cs="Arial" w:eastAsia="Arial" w:hAnsi="Arial"/>
          <w:sz w:val="17"/>
          <w:szCs w:val="17"/>
          <w:i w:val="1"/>
          <w:iCs w:val="1"/>
          <w:color w:val="auto"/>
        </w:rPr>
        <w:t>“</w:t>
      </w:r>
      <w:r>
        <w:rPr>
          <w:rFonts w:ascii="Arial" w:cs="Arial" w:eastAsia="Arial" w:hAnsi="Arial"/>
          <w:sz w:val="17"/>
          <w:szCs w:val="17"/>
          <w:i w:val="1"/>
          <w:iCs w:val="1"/>
          <w:u w:val="single" w:color="auto"/>
          <w:color w:val="auto"/>
        </w:rPr>
        <w:t>Code</w:t>
      </w:r>
      <w:r>
        <w:rPr>
          <w:rFonts w:ascii="Arial" w:cs="Arial" w:eastAsia="Arial" w:hAnsi="Arial"/>
          <w:sz w:val="17"/>
          <w:szCs w:val="17"/>
          <w:i w:val="1"/>
          <w:iCs w:val="1"/>
          <w:color w:val="auto"/>
        </w:rPr>
        <w:t xml:space="preserve">” </w:t>
      </w:r>
      <w:r>
        <w:rPr>
          <w:rFonts w:ascii="Arial" w:cs="Arial" w:eastAsia="Arial" w:hAnsi="Arial"/>
          <w:sz w:val="17"/>
          <w:szCs w:val="17"/>
          <w:color w:val="auto"/>
        </w:rPr>
        <w:t>means the Internal Revenue Code of 1986 and any successor statute, as amended from time to time.</w:t>
      </w:r>
    </w:p>
    <w:p>
      <w:pPr>
        <w:spacing w:after="0" w:line="217" w:lineRule="exact"/>
        <w:rPr>
          <w:sz w:val="20"/>
          <w:szCs w:val="20"/>
          <w:color w:val="auto"/>
        </w:rPr>
      </w:pPr>
    </w:p>
    <w:p>
      <w:pPr>
        <w:ind w:left="940"/>
        <w:spacing w:after="0"/>
        <w:rPr>
          <w:sz w:val="20"/>
          <w:szCs w:val="20"/>
          <w:color w:val="auto"/>
        </w:rPr>
      </w:pPr>
      <w:r>
        <w:rPr>
          <w:rFonts w:ascii="Arial" w:cs="Arial" w:eastAsia="Arial" w:hAnsi="Arial"/>
          <w:sz w:val="17"/>
          <w:szCs w:val="17"/>
          <w:i w:val="1"/>
          <w:iCs w:val="1"/>
          <w:color w:val="auto"/>
        </w:rPr>
        <w:t>“</w:t>
      </w:r>
      <w:r>
        <w:rPr>
          <w:rFonts w:ascii="Arial" w:cs="Arial" w:eastAsia="Arial" w:hAnsi="Arial"/>
          <w:sz w:val="17"/>
          <w:szCs w:val="17"/>
          <w:i w:val="1"/>
          <w:iCs w:val="1"/>
          <w:u w:val="single" w:color="auto"/>
          <w:color w:val="auto"/>
        </w:rPr>
        <w:t>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has the meaning specified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w:t>
      </w:r>
      <w:r>
        <w:rPr>
          <w:rFonts w:ascii="Arial" w:cs="Arial" w:eastAsia="Arial" w:hAnsi="Arial"/>
          <w:sz w:val="17"/>
          <w:szCs w:val="17"/>
          <w:i w:val="1"/>
          <w:iCs w:val="1"/>
          <w:color w:val="auto"/>
        </w:rPr>
        <w:t xml:space="preserve"> </w:t>
      </w:r>
      <w:r>
        <w:rPr>
          <w:rFonts w:ascii="Arial" w:cs="Arial" w:eastAsia="Arial" w:hAnsi="Arial"/>
          <w:sz w:val="17"/>
          <w:szCs w:val="17"/>
          <w:color w:val="auto"/>
        </w:rPr>
        <w:t>hereof.</w:t>
      </w:r>
    </w:p>
    <w:p>
      <w:pPr>
        <w:spacing w:after="0" w:line="217" w:lineRule="exact"/>
        <w:rPr>
          <w:sz w:val="20"/>
          <w:szCs w:val="20"/>
          <w:color w:val="auto"/>
        </w:rPr>
      </w:pPr>
    </w:p>
    <w:p>
      <w:pPr>
        <w:ind w:left="940"/>
        <w:spacing w:after="0"/>
        <w:rPr>
          <w:sz w:val="20"/>
          <w:szCs w:val="20"/>
          <w:color w:val="auto"/>
        </w:rPr>
      </w:pPr>
      <w:r>
        <w:rPr>
          <w:rFonts w:ascii="Arial" w:cs="Arial" w:eastAsia="Arial" w:hAnsi="Arial"/>
          <w:sz w:val="17"/>
          <w:szCs w:val="17"/>
          <w:i w:val="1"/>
          <w:iCs w:val="1"/>
          <w:color w:val="auto"/>
        </w:rPr>
        <w:t>“</w:t>
      </w:r>
      <w:r>
        <w:rPr>
          <w:rFonts w:ascii="Arial" w:cs="Arial" w:eastAsia="Arial" w:hAnsi="Arial"/>
          <w:sz w:val="17"/>
          <w:szCs w:val="17"/>
          <w:i w:val="1"/>
          <w:iCs w:val="1"/>
          <w:u w:val="single" w:color="auto"/>
          <w:color w:val="auto"/>
        </w:rPr>
        <w:t>Company</w:t>
      </w:r>
      <w:r>
        <w:rPr>
          <w:rFonts w:ascii="Arial" w:cs="Arial" w:eastAsia="Arial" w:hAnsi="Arial"/>
          <w:sz w:val="17"/>
          <w:szCs w:val="17"/>
          <w:i w:val="1"/>
          <w:iCs w:val="1"/>
          <w:color w:val="auto"/>
        </w:rPr>
        <w:t xml:space="preserve">” </w:t>
      </w:r>
      <w:r>
        <w:rPr>
          <w:rFonts w:ascii="Arial" w:cs="Arial" w:eastAsia="Arial" w:hAnsi="Arial"/>
          <w:sz w:val="17"/>
          <w:szCs w:val="17"/>
          <w:color w:val="auto"/>
        </w:rPr>
        <w:t>has the meaning specified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1</w:t>
      </w:r>
      <w:r>
        <w:rPr>
          <w:rFonts w:ascii="Arial" w:cs="Arial" w:eastAsia="Arial" w:hAnsi="Arial"/>
          <w:sz w:val="17"/>
          <w:szCs w:val="17"/>
          <w:i w:val="1"/>
          <w:iCs w:val="1"/>
          <w:color w:val="auto"/>
        </w:rPr>
        <w:t xml:space="preserve"> </w:t>
      </w:r>
      <w:r>
        <w:rPr>
          <w:rFonts w:ascii="Arial" w:cs="Arial" w:eastAsia="Arial" w:hAnsi="Arial"/>
          <w:sz w:val="17"/>
          <w:szCs w:val="17"/>
          <w:color w:val="auto"/>
        </w:rPr>
        <w:t>hereof.</w:t>
      </w:r>
    </w:p>
    <w:p>
      <w:pPr>
        <w:spacing w:after="0" w:line="217" w:lineRule="exact"/>
        <w:rPr>
          <w:sz w:val="20"/>
          <w:szCs w:val="20"/>
          <w:color w:val="auto"/>
        </w:rPr>
      </w:pPr>
    </w:p>
    <w:p>
      <w:pPr>
        <w:ind w:left="9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Grantee</w:t>
      </w:r>
      <w:r>
        <w:rPr>
          <w:rFonts w:ascii="Arial" w:cs="Arial" w:eastAsia="Arial" w:hAnsi="Arial"/>
          <w:sz w:val="17"/>
          <w:szCs w:val="17"/>
          <w:color w:val="auto"/>
        </w:rPr>
        <w:t>” means the recipient of an Award.</w:t>
      </w:r>
    </w:p>
    <w:p>
      <w:pPr>
        <w:spacing w:after="0" w:line="217" w:lineRule="exact"/>
        <w:rPr>
          <w:sz w:val="20"/>
          <w:szCs w:val="20"/>
          <w:color w:val="auto"/>
        </w:rPr>
      </w:pPr>
    </w:p>
    <w:p>
      <w:pPr>
        <w:ind w:right="160" w:firstLine="946"/>
        <w:spacing w:after="0" w:line="279" w:lineRule="auto"/>
        <w:rPr>
          <w:sz w:val="20"/>
          <w:szCs w:val="20"/>
          <w:color w:val="auto"/>
        </w:rPr>
      </w:pPr>
      <w:r>
        <w:rPr>
          <w:rFonts w:ascii="Arial" w:cs="Arial" w:eastAsia="Arial" w:hAnsi="Arial"/>
          <w:sz w:val="17"/>
          <w:szCs w:val="17"/>
          <w:i w:val="1"/>
          <w:iCs w:val="1"/>
          <w:color w:val="auto"/>
        </w:rPr>
        <w:t>“</w:t>
      </w:r>
      <w:r>
        <w:rPr>
          <w:rFonts w:ascii="Arial" w:cs="Arial" w:eastAsia="Arial" w:hAnsi="Arial"/>
          <w:sz w:val="17"/>
          <w:szCs w:val="17"/>
          <w:i w:val="1"/>
          <w:iCs w:val="1"/>
          <w:u w:val="single" w:color="auto"/>
          <w:color w:val="auto"/>
        </w:rPr>
        <w:t>LLC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shall mean the Amended and Restated Limited Liability Company Agreement of the Company, dated as of March 14,</w:t>
      </w:r>
      <w:r>
        <w:rPr>
          <w:rFonts w:ascii="Arial" w:cs="Arial" w:eastAsia="Arial" w:hAnsi="Arial"/>
          <w:sz w:val="17"/>
          <w:szCs w:val="17"/>
          <w:i w:val="1"/>
          <w:iCs w:val="1"/>
          <w:color w:val="auto"/>
        </w:rPr>
        <w:t xml:space="preserve"> </w:t>
      </w:r>
      <w:r>
        <w:rPr>
          <w:rFonts w:ascii="Arial" w:cs="Arial" w:eastAsia="Arial" w:hAnsi="Arial"/>
          <w:sz w:val="17"/>
          <w:szCs w:val="17"/>
          <w:color w:val="auto"/>
        </w:rPr>
        <w:t>2014, as the same may be further amended from time to time.</w:t>
      </w:r>
    </w:p>
    <w:p>
      <w:pPr>
        <w:spacing w:after="0" w:line="164" w:lineRule="exact"/>
        <w:rPr>
          <w:sz w:val="20"/>
          <w:szCs w:val="20"/>
          <w:color w:val="auto"/>
        </w:rPr>
      </w:pPr>
    </w:p>
    <w:p>
      <w:pPr>
        <w:ind w:right="160" w:firstLine="946"/>
        <w:spacing w:after="0" w:line="261" w:lineRule="auto"/>
        <w:rPr>
          <w:sz w:val="20"/>
          <w:szCs w:val="20"/>
          <w:color w:val="auto"/>
        </w:rPr>
      </w:pPr>
      <w:r>
        <w:rPr>
          <w:rFonts w:ascii="Arial" w:cs="Arial" w:eastAsia="Arial" w:hAnsi="Arial"/>
          <w:sz w:val="17"/>
          <w:szCs w:val="17"/>
          <w:i w:val="1"/>
          <w:iCs w:val="1"/>
          <w:color w:val="auto"/>
        </w:rPr>
        <w:t>“</w:t>
      </w:r>
      <w:r>
        <w:rPr>
          <w:rFonts w:ascii="Arial" w:cs="Arial" w:eastAsia="Arial" w:hAnsi="Arial"/>
          <w:sz w:val="17"/>
          <w:szCs w:val="17"/>
          <w:i w:val="1"/>
          <w:iCs w:val="1"/>
          <w:u w:val="single" w:color="auto"/>
          <w:color w:val="auto"/>
        </w:rPr>
        <w:t>Parent</w:t>
      </w:r>
      <w:r>
        <w:rPr>
          <w:rFonts w:ascii="Arial" w:cs="Arial" w:eastAsia="Arial" w:hAnsi="Arial"/>
          <w:sz w:val="17"/>
          <w:szCs w:val="17"/>
          <w:i w:val="1"/>
          <w:iCs w:val="1"/>
          <w:color w:val="auto"/>
        </w:rPr>
        <w:t xml:space="preserve">” </w:t>
      </w:r>
      <w:r>
        <w:rPr>
          <w:rFonts w:ascii="Arial" w:cs="Arial" w:eastAsia="Arial" w:hAnsi="Arial"/>
          <w:sz w:val="17"/>
          <w:szCs w:val="17"/>
          <w:color w:val="auto"/>
        </w:rPr>
        <w:t>means any corporation, limited liability company or other Entity (other than the Company) in an unbroken chain of companies</w:t>
      </w:r>
      <w:r>
        <w:rPr>
          <w:rFonts w:ascii="Arial" w:cs="Arial" w:eastAsia="Arial" w:hAnsi="Arial"/>
          <w:sz w:val="17"/>
          <w:szCs w:val="17"/>
          <w:i w:val="1"/>
          <w:iCs w:val="1"/>
          <w:color w:val="auto"/>
        </w:rPr>
        <w:t xml:space="preserve"> </w:t>
      </w:r>
      <w:r>
        <w:rPr>
          <w:rFonts w:ascii="Arial" w:cs="Arial" w:eastAsia="Arial" w:hAnsi="Arial"/>
          <w:sz w:val="17"/>
          <w:szCs w:val="17"/>
          <w:color w:val="auto"/>
        </w:rPr>
        <w:t>ending with the Company if, at the time of the granting of the Award, each of the companies other than the Company owns capital stock, units or other interests possessing fifty percent (50%) or more of the total combined voting power of all classes of securities in one of the other companies in such chain.</w:t>
      </w:r>
    </w:p>
    <w:p>
      <w:pPr>
        <w:sectPr>
          <w:pgSz w:w="11900" w:h="16838" w:orient="portrait"/>
          <w:cols w:equalWidth="0" w:num="1">
            <w:col w:w="10500"/>
          </w:cols>
          <w:pgMar w:left="700" w:top="121" w:right="699" w:bottom="1440" w:gutter="0" w:footer="0" w:header="0"/>
        </w:sectPr>
      </w:pPr>
    </w:p>
    <w:bookmarkStart w:id="28" w:name="page29"/>
    <w:bookmarkEnd w:id="28"/>
    <w:p>
      <w:pPr>
        <w:ind w:left="950"/>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24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155180" cy="24765"/>
                    </a:xfrm>
                    <a:prstGeom prst="rect">
                      <a:avLst/>
                    </a:prstGeom>
                    <a:noFill/>
                  </pic:spPr>
                </pic:pic>
              </a:graphicData>
            </a:graphic>
          </wp:anchor>
        </w:drawing>
        <w:t>“</w:t>
      </w:r>
      <w:r>
        <w:rPr>
          <w:rFonts w:ascii="Arial" w:cs="Arial" w:eastAsia="Arial" w:hAnsi="Arial"/>
          <w:sz w:val="17"/>
          <w:szCs w:val="17"/>
          <w:i w:val="1"/>
          <w:iCs w:val="1"/>
          <w:u w:val="single" w:color="auto"/>
          <w:color w:val="auto"/>
        </w:rPr>
        <w:t>Plan</w:t>
      </w:r>
      <w:r>
        <w:rPr>
          <w:rFonts w:ascii="Arial" w:cs="Arial" w:eastAsia="Arial" w:hAnsi="Arial"/>
          <w:sz w:val="17"/>
          <w:szCs w:val="17"/>
          <w:i w:val="1"/>
          <w:iCs w:val="1"/>
          <w:color w:val="auto"/>
        </w:rPr>
        <w:t xml:space="preserve">” </w:t>
      </w:r>
      <w:r>
        <w:rPr>
          <w:rFonts w:ascii="Arial" w:cs="Arial" w:eastAsia="Arial" w:hAnsi="Arial"/>
          <w:sz w:val="17"/>
          <w:szCs w:val="17"/>
          <w:color w:val="auto"/>
        </w:rPr>
        <w:t>has the meaning specified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1</w:t>
      </w:r>
      <w:r>
        <w:rPr>
          <w:rFonts w:ascii="Arial" w:cs="Arial" w:eastAsia="Arial" w:hAnsi="Arial"/>
          <w:sz w:val="17"/>
          <w:szCs w:val="17"/>
          <w:i w:val="1"/>
          <w:iCs w:val="1"/>
          <w:color w:val="auto"/>
        </w:rPr>
        <w:t xml:space="preserve"> </w:t>
      </w:r>
      <w:r>
        <w:rPr>
          <w:rFonts w:ascii="Arial" w:cs="Arial" w:eastAsia="Arial" w:hAnsi="Arial"/>
          <w:sz w:val="17"/>
          <w:szCs w:val="17"/>
          <w:color w:val="auto"/>
        </w:rPr>
        <w:t>hereof.</w:t>
      </w:r>
    </w:p>
    <w:p>
      <w:pPr>
        <w:spacing w:after="0" w:line="217" w:lineRule="exact"/>
        <w:rPr>
          <w:sz w:val="20"/>
          <w:szCs w:val="20"/>
          <w:color w:val="auto"/>
        </w:rPr>
      </w:pPr>
    </w:p>
    <w:p>
      <w:pPr>
        <w:ind w:left="950"/>
        <w:spacing w:after="0"/>
        <w:rPr>
          <w:sz w:val="20"/>
          <w:szCs w:val="20"/>
          <w:color w:val="auto"/>
        </w:rPr>
      </w:pPr>
      <w:r>
        <w:rPr>
          <w:rFonts w:ascii="Arial" w:cs="Arial" w:eastAsia="Arial" w:hAnsi="Arial"/>
          <w:sz w:val="17"/>
          <w:szCs w:val="17"/>
          <w:i w:val="1"/>
          <w:iCs w:val="1"/>
          <w:color w:val="auto"/>
        </w:rPr>
        <w:t>“</w:t>
      </w:r>
      <w:r>
        <w:rPr>
          <w:rFonts w:ascii="Arial" w:cs="Arial" w:eastAsia="Arial" w:hAnsi="Arial"/>
          <w:sz w:val="17"/>
          <w:szCs w:val="17"/>
          <w:i w:val="1"/>
          <w:iCs w:val="1"/>
          <w:u w:val="single" w:color="auto"/>
          <w:color w:val="auto"/>
        </w:rPr>
        <w:t>Restricted Unit</w:t>
      </w:r>
      <w:r>
        <w:rPr>
          <w:rFonts w:ascii="Arial" w:cs="Arial" w:eastAsia="Arial" w:hAnsi="Arial"/>
          <w:sz w:val="17"/>
          <w:szCs w:val="17"/>
          <w:i w:val="1"/>
          <w:iCs w:val="1"/>
          <w:color w:val="auto"/>
        </w:rPr>
        <w:t xml:space="preserve">” </w:t>
      </w:r>
      <w:r>
        <w:rPr>
          <w:rFonts w:ascii="Arial" w:cs="Arial" w:eastAsia="Arial" w:hAnsi="Arial"/>
          <w:sz w:val="17"/>
          <w:szCs w:val="17"/>
          <w:color w:val="auto"/>
        </w:rPr>
        <w:t>means a Class B Unit issuable pursuant to the terms of this Plan</w:t>
      </w:r>
    </w:p>
    <w:p>
      <w:pPr>
        <w:spacing w:after="0" w:line="217" w:lineRule="exact"/>
        <w:rPr>
          <w:sz w:val="20"/>
          <w:szCs w:val="20"/>
          <w:color w:val="auto"/>
        </w:rPr>
      </w:pPr>
    </w:p>
    <w:p>
      <w:pPr>
        <w:ind w:left="950"/>
        <w:spacing w:after="0"/>
        <w:rPr>
          <w:sz w:val="20"/>
          <w:szCs w:val="20"/>
          <w:color w:val="auto"/>
        </w:rPr>
      </w:pPr>
      <w:r>
        <w:rPr>
          <w:rFonts w:ascii="Arial" w:cs="Arial" w:eastAsia="Arial" w:hAnsi="Arial"/>
          <w:sz w:val="15"/>
          <w:szCs w:val="15"/>
          <w:i w:val="1"/>
          <w:iCs w:val="1"/>
          <w:color w:val="auto"/>
        </w:rPr>
        <w:t>“</w:t>
      </w:r>
      <w:r>
        <w:rPr>
          <w:rFonts w:ascii="Arial" w:cs="Arial" w:eastAsia="Arial" w:hAnsi="Arial"/>
          <w:sz w:val="15"/>
          <w:szCs w:val="15"/>
          <w:i w:val="1"/>
          <w:iCs w:val="1"/>
          <w:u w:val="single" w:color="auto"/>
          <w:color w:val="auto"/>
        </w:rPr>
        <w:t>Service Provider</w:t>
      </w:r>
      <w:r>
        <w:rPr>
          <w:rFonts w:ascii="Arial" w:cs="Arial" w:eastAsia="Arial" w:hAnsi="Arial"/>
          <w:sz w:val="15"/>
          <w:szCs w:val="15"/>
          <w:i w:val="1"/>
          <w:iCs w:val="1"/>
          <w:color w:val="auto"/>
        </w:rPr>
        <w:t xml:space="preserve">” </w:t>
      </w:r>
      <w:r>
        <w:rPr>
          <w:rFonts w:ascii="Arial" w:cs="Arial" w:eastAsia="Arial" w:hAnsi="Arial"/>
          <w:sz w:val="15"/>
          <w:szCs w:val="15"/>
          <w:color w:val="auto"/>
        </w:rPr>
        <w:t>means an employee, director, manager, advisor or independent contractor to the Company or any of its Subsidiaries.</w:t>
      </w:r>
    </w:p>
    <w:p>
      <w:pPr>
        <w:spacing w:after="0" w:line="240" w:lineRule="exact"/>
        <w:rPr>
          <w:sz w:val="20"/>
          <w:szCs w:val="20"/>
          <w:color w:val="auto"/>
        </w:rPr>
      </w:pPr>
    </w:p>
    <w:p>
      <w:pPr>
        <w:ind w:left="950"/>
        <w:spacing w:after="0"/>
        <w:rPr>
          <w:sz w:val="20"/>
          <w:szCs w:val="20"/>
          <w:color w:val="auto"/>
        </w:rPr>
      </w:pPr>
      <w:r>
        <w:rPr>
          <w:rFonts w:ascii="Arial" w:cs="Arial" w:eastAsia="Arial" w:hAnsi="Arial"/>
          <w:sz w:val="17"/>
          <w:szCs w:val="17"/>
          <w:i w:val="1"/>
          <w:iCs w:val="1"/>
          <w:color w:val="auto"/>
        </w:rPr>
        <w:t>“</w:t>
      </w:r>
      <w:r>
        <w:rPr>
          <w:rFonts w:ascii="Arial" w:cs="Arial" w:eastAsia="Arial" w:hAnsi="Arial"/>
          <w:sz w:val="17"/>
          <w:szCs w:val="17"/>
          <w:i w:val="1"/>
          <w:iCs w:val="1"/>
          <w:u w:val="single" w:color="auto"/>
          <w:color w:val="auto"/>
        </w:rPr>
        <w:t>Securities Act</w:t>
      </w:r>
      <w:r>
        <w:rPr>
          <w:rFonts w:ascii="Arial" w:cs="Arial" w:eastAsia="Arial" w:hAnsi="Arial"/>
          <w:sz w:val="17"/>
          <w:szCs w:val="17"/>
          <w:i w:val="1"/>
          <w:iCs w:val="1"/>
          <w:color w:val="auto"/>
        </w:rPr>
        <w:t xml:space="preserve">” </w:t>
      </w:r>
      <w:r>
        <w:rPr>
          <w:rFonts w:ascii="Arial" w:cs="Arial" w:eastAsia="Arial" w:hAnsi="Arial"/>
          <w:sz w:val="17"/>
          <w:szCs w:val="17"/>
          <w:color w:val="auto"/>
        </w:rPr>
        <w:t>means the Securities Act of 1933, as amended.</w:t>
      </w:r>
    </w:p>
    <w:p>
      <w:pPr>
        <w:spacing w:after="0" w:line="217" w:lineRule="exact"/>
        <w:rPr>
          <w:sz w:val="20"/>
          <w:szCs w:val="20"/>
          <w:color w:val="auto"/>
        </w:rPr>
      </w:pPr>
    </w:p>
    <w:p>
      <w:pPr>
        <w:ind w:left="10" w:right="40" w:firstLine="946"/>
        <w:spacing w:after="0" w:line="299" w:lineRule="auto"/>
        <w:rPr>
          <w:sz w:val="20"/>
          <w:szCs w:val="20"/>
          <w:color w:val="auto"/>
        </w:rPr>
      </w:pPr>
      <w:r>
        <w:rPr>
          <w:rFonts w:ascii="Arial" w:cs="Arial" w:eastAsia="Arial" w:hAnsi="Arial"/>
          <w:sz w:val="15"/>
          <w:szCs w:val="15"/>
          <w:i w:val="1"/>
          <w:iCs w:val="1"/>
          <w:color w:val="auto"/>
        </w:rPr>
        <w:t>“</w:t>
      </w:r>
      <w:r>
        <w:rPr>
          <w:rFonts w:ascii="Arial" w:cs="Arial" w:eastAsia="Arial" w:hAnsi="Arial"/>
          <w:sz w:val="15"/>
          <w:szCs w:val="15"/>
          <w:i w:val="1"/>
          <w:iCs w:val="1"/>
          <w:u w:val="single" w:color="auto"/>
          <w:color w:val="auto"/>
        </w:rPr>
        <w:t>Service Relationship</w:t>
      </w:r>
      <w:r>
        <w:rPr>
          <w:rFonts w:ascii="Arial" w:cs="Arial" w:eastAsia="Arial" w:hAnsi="Arial"/>
          <w:sz w:val="15"/>
          <w:szCs w:val="15"/>
          <w:i w:val="1"/>
          <w:iCs w:val="1"/>
          <w:color w:val="auto"/>
        </w:rPr>
        <w:t xml:space="preserve">” </w:t>
      </w:r>
      <w:r>
        <w:rPr>
          <w:rFonts w:ascii="Arial" w:cs="Arial" w:eastAsia="Arial" w:hAnsi="Arial"/>
          <w:sz w:val="15"/>
          <w:szCs w:val="15"/>
          <w:color w:val="auto"/>
        </w:rPr>
        <w:t>means the Grantee’s employment with or contractual service to the Company or any of its Subsidiaries, whether in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the capacity of an employee, director manager, advisor or independent contractor. Unless otherwise determined by the Committee, a Grantee’s Service Relationship shall not be deemed to have terminated merely because of a change in the capacity in which the Grantee renders service to the Company or any of its Subsidiaries, or a transfer between locations of the Company or any of its Subsidiaries, or a transfer between the Company and any Subsidiary;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there is no interruption or other termination of the Service Relationship. Subject to the foregoing and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below, the Board, in its sole discretion, shall determine whether the Grantee’s Service Relationship has terminated and the effective date of such termination.</w:t>
      </w:r>
    </w:p>
    <w:p>
      <w:pPr>
        <w:spacing w:after="0" w:line="153" w:lineRule="exact"/>
        <w:rPr>
          <w:sz w:val="20"/>
          <w:szCs w:val="20"/>
          <w:color w:val="auto"/>
        </w:rPr>
      </w:pPr>
    </w:p>
    <w:p>
      <w:pPr>
        <w:ind w:left="10" w:firstLine="946"/>
        <w:spacing w:after="0" w:line="294" w:lineRule="auto"/>
        <w:rPr>
          <w:sz w:val="20"/>
          <w:szCs w:val="20"/>
          <w:color w:val="auto"/>
        </w:rPr>
      </w:pPr>
      <w:r>
        <w:rPr>
          <w:rFonts w:ascii="Arial" w:cs="Arial" w:eastAsia="Arial" w:hAnsi="Arial"/>
          <w:sz w:val="15"/>
          <w:szCs w:val="15"/>
          <w:i w:val="1"/>
          <w:iCs w:val="1"/>
          <w:color w:val="auto"/>
        </w:rPr>
        <w:t>“</w:t>
      </w:r>
      <w:r>
        <w:rPr>
          <w:rFonts w:ascii="Arial" w:cs="Arial" w:eastAsia="Arial" w:hAnsi="Arial"/>
          <w:sz w:val="15"/>
          <w:szCs w:val="15"/>
          <w:i w:val="1"/>
          <w:iCs w:val="1"/>
          <w:u w:val="single" w:color="auto"/>
          <w:color w:val="auto"/>
        </w:rPr>
        <w:t>Subsidiary</w:t>
      </w:r>
      <w:r>
        <w:rPr>
          <w:rFonts w:ascii="Arial" w:cs="Arial" w:eastAsia="Arial" w:hAnsi="Arial"/>
          <w:sz w:val="15"/>
          <w:szCs w:val="15"/>
          <w:i w:val="1"/>
          <w:iCs w:val="1"/>
          <w:color w:val="auto"/>
        </w:rPr>
        <w:t xml:space="preserve">”, </w:t>
      </w:r>
      <w:r>
        <w:rPr>
          <w:rFonts w:ascii="Arial" w:cs="Arial" w:eastAsia="Arial" w:hAnsi="Arial"/>
          <w:sz w:val="15"/>
          <w:szCs w:val="15"/>
          <w:color w:val="auto"/>
        </w:rPr>
        <w:t>with respect to any Person, means another Person (i) more than 50% of the total combined voting power of all classes of</w:t>
      </w:r>
      <w:r>
        <w:rPr>
          <w:rFonts w:ascii="Arial" w:cs="Arial" w:eastAsia="Arial" w:hAnsi="Arial"/>
          <w:sz w:val="15"/>
          <w:szCs w:val="15"/>
          <w:i w:val="1"/>
          <w:iCs w:val="1"/>
          <w:color w:val="auto"/>
        </w:rPr>
        <w:t xml:space="preserve"> </w:t>
      </w:r>
      <w:r>
        <w:rPr>
          <w:rFonts w:ascii="Arial" w:cs="Arial" w:eastAsia="Arial" w:hAnsi="Arial"/>
          <w:sz w:val="15"/>
          <w:szCs w:val="15"/>
          <w:color w:val="auto"/>
        </w:rPr>
        <w:t>capital stock or other voting interests of which, or more than 50% of the equity securities of which, is owned directly or indirectly by such first Person or</w:t>
      </w:r>
    </w:p>
    <w:p>
      <w:pPr>
        <w:ind w:left="10" w:right="60" w:hanging="10"/>
        <w:spacing w:after="0" w:line="265" w:lineRule="auto"/>
        <w:tabs>
          <w:tab w:leader="none" w:pos="263" w:val="left"/>
        </w:tabs>
        <w:numPr>
          <w:ilvl w:val="0"/>
          <w:numId w:val="17"/>
        </w:numPr>
        <w:rPr>
          <w:rFonts w:ascii="Arial" w:cs="Arial" w:eastAsia="Arial" w:hAnsi="Arial"/>
          <w:sz w:val="17"/>
          <w:szCs w:val="17"/>
          <w:color w:val="auto"/>
        </w:rPr>
      </w:pPr>
      <w:r>
        <w:rPr>
          <w:rFonts w:ascii="Arial" w:cs="Arial" w:eastAsia="Arial" w:hAnsi="Arial"/>
          <w:sz w:val="17"/>
          <w:szCs w:val="17"/>
          <w:color w:val="auto"/>
        </w:rPr>
        <w:t>with respect to which such first Person has the direct or indirect power to direct or cause the direction of the management and policies of such entity, whether by contract or otherwise.</w:t>
      </w:r>
    </w:p>
    <w:p>
      <w:pPr>
        <w:spacing w:after="0" w:line="176" w:lineRule="exact"/>
        <w:rPr>
          <w:sz w:val="20"/>
          <w:szCs w:val="20"/>
          <w:color w:val="auto"/>
        </w:rPr>
      </w:pPr>
    </w:p>
    <w:p>
      <w:pPr>
        <w:ind w:left="950"/>
        <w:spacing w:after="0"/>
        <w:rPr>
          <w:sz w:val="20"/>
          <w:szCs w:val="20"/>
          <w:color w:val="auto"/>
        </w:rPr>
      </w:pPr>
      <w:r>
        <w:rPr>
          <w:rFonts w:ascii="Arial" w:cs="Arial" w:eastAsia="Arial" w:hAnsi="Arial"/>
          <w:sz w:val="17"/>
          <w:szCs w:val="17"/>
          <w:i w:val="1"/>
          <w:iCs w:val="1"/>
          <w:color w:val="auto"/>
        </w:rPr>
        <w:t>“</w:t>
      </w:r>
      <w:r>
        <w:rPr>
          <w:rFonts w:ascii="Arial" w:cs="Arial" w:eastAsia="Arial" w:hAnsi="Arial"/>
          <w:sz w:val="17"/>
          <w:szCs w:val="17"/>
          <w:i w:val="1"/>
          <w:iCs w:val="1"/>
          <w:u w:val="single" w:color="auto"/>
          <w:color w:val="auto"/>
        </w:rPr>
        <w:t>Unit</w:t>
      </w:r>
      <w:r>
        <w:rPr>
          <w:rFonts w:ascii="Arial" w:cs="Arial" w:eastAsia="Arial" w:hAnsi="Arial"/>
          <w:sz w:val="17"/>
          <w:szCs w:val="17"/>
          <w:i w:val="1"/>
          <w:iCs w:val="1"/>
          <w:color w:val="auto"/>
        </w:rPr>
        <w:t xml:space="preserve">” </w:t>
      </w:r>
      <w:r>
        <w:rPr>
          <w:rFonts w:ascii="Arial" w:cs="Arial" w:eastAsia="Arial" w:hAnsi="Arial"/>
          <w:sz w:val="17"/>
          <w:szCs w:val="17"/>
          <w:color w:val="auto"/>
        </w:rPr>
        <w:t>means a Class B Unit of the Company.</w:t>
      </w:r>
    </w:p>
    <w:p>
      <w:pPr>
        <w:spacing w:after="0" w:line="217" w:lineRule="exact"/>
        <w:rPr>
          <w:sz w:val="20"/>
          <w:szCs w:val="20"/>
          <w:color w:val="auto"/>
        </w:rPr>
      </w:pPr>
    </w:p>
    <w:p>
      <w:pPr>
        <w:ind w:left="950"/>
        <w:spacing w:after="0"/>
        <w:rPr>
          <w:sz w:val="20"/>
          <w:szCs w:val="20"/>
          <w:color w:val="auto"/>
        </w:rPr>
      </w:pPr>
      <w:r>
        <w:rPr>
          <w:rFonts w:ascii="Arial" w:cs="Arial" w:eastAsia="Arial" w:hAnsi="Arial"/>
          <w:sz w:val="17"/>
          <w:szCs w:val="17"/>
          <w:i w:val="1"/>
          <w:iCs w:val="1"/>
          <w:color w:val="auto"/>
        </w:rPr>
        <w:t>“</w:t>
      </w:r>
      <w:r>
        <w:rPr>
          <w:rFonts w:ascii="Arial" w:cs="Arial" w:eastAsia="Arial" w:hAnsi="Arial"/>
          <w:sz w:val="17"/>
          <w:szCs w:val="17"/>
          <w:i w:val="1"/>
          <w:iCs w:val="1"/>
          <w:u w:val="single" w:color="auto"/>
          <w:color w:val="auto"/>
        </w:rPr>
        <w:t>Vested Unit</w:t>
      </w:r>
      <w:r>
        <w:rPr>
          <w:rFonts w:ascii="Arial" w:cs="Arial" w:eastAsia="Arial" w:hAnsi="Arial"/>
          <w:sz w:val="17"/>
          <w:szCs w:val="17"/>
          <w:i w:val="1"/>
          <w:iCs w:val="1"/>
          <w:color w:val="auto"/>
        </w:rPr>
        <w:t xml:space="preserve">” </w:t>
      </w:r>
      <w:r>
        <w:rPr>
          <w:rFonts w:ascii="Arial" w:cs="Arial" w:eastAsia="Arial" w:hAnsi="Arial"/>
          <w:sz w:val="17"/>
          <w:szCs w:val="17"/>
          <w:color w:val="auto"/>
        </w:rPr>
        <w:t>means any portion of a Unit which has vested pursuant to the terms of the applicable Restricted Unit Award.</w:t>
      </w:r>
    </w:p>
    <w:p>
      <w:pPr>
        <w:spacing w:after="0" w:line="320" w:lineRule="exact"/>
        <w:rPr>
          <w:sz w:val="20"/>
          <w:szCs w:val="20"/>
          <w:color w:val="auto"/>
        </w:rPr>
      </w:pPr>
    </w:p>
    <w:p>
      <w:pPr>
        <w:ind w:left="10"/>
        <w:spacing w:after="0"/>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ADMINISTRATION OF PLAN</w:t>
      </w:r>
    </w:p>
    <w:p>
      <w:pPr>
        <w:spacing w:after="0" w:line="114" w:lineRule="exact"/>
        <w:rPr>
          <w:sz w:val="20"/>
          <w:szCs w:val="20"/>
          <w:color w:val="auto"/>
        </w:rPr>
      </w:pPr>
    </w:p>
    <w:p>
      <w:pPr>
        <w:ind w:left="10" w:right="140" w:firstLine="410"/>
        <w:spacing w:after="0" w:line="259" w:lineRule="auto"/>
        <w:tabs>
          <w:tab w:leader="none" w:pos="663"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Administration of Plan.</w:t>
      </w:r>
      <w:r>
        <w:rPr>
          <w:rFonts w:ascii="Arial" w:cs="Arial" w:eastAsia="Arial" w:hAnsi="Arial"/>
          <w:sz w:val="17"/>
          <w:szCs w:val="17"/>
          <w:color w:val="auto"/>
        </w:rPr>
        <w:t xml:space="preserve"> The Plan shall be administered by the Board, or, at the sole discretion of the Board, by a committee of the Board consisting of no fewer than three Directors (the </w:t>
      </w:r>
      <w:r>
        <w:rPr>
          <w:rFonts w:ascii="Arial" w:cs="Arial" w:eastAsia="Arial" w:hAnsi="Arial"/>
          <w:sz w:val="17"/>
          <w:szCs w:val="17"/>
          <w:i w:val="1"/>
          <w:iCs w:val="1"/>
          <w:color w:val="auto"/>
        </w:rPr>
        <w:t>“</w:t>
      </w:r>
      <w:r>
        <w:rPr>
          <w:rFonts w:ascii="Arial" w:cs="Arial" w:eastAsia="Arial" w:hAnsi="Arial"/>
          <w:sz w:val="17"/>
          <w:szCs w:val="17"/>
          <w:i w:val="1"/>
          <w:iCs w:val="1"/>
          <w:u w:val="single" w:color="auto"/>
          <w:color w:val="auto"/>
        </w:rPr>
        <w:t>Committee</w:t>
      </w:r>
      <w:r>
        <w:rPr>
          <w:rFonts w:ascii="Arial" w:cs="Arial" w:eastAsia="Arial" w:hAnsi="Arial"/>
          <w:sz w:val="17"/>
          <w:szCs w:val="17"/>
          <w:i w:val="1"/>
          <w:iCs w:val="1"/>
          <w:color w:val="auto"/>
        </w:rPr>
        <w:t>”),</w:t>
      </w:r>
      <w:r>
        <w:rPr>
          <w:rFonts w:ascii="Arial" w:cs="Arial" w:eastAsia="Arial" w:hAnsi="Arial"/>
          <w:sz w:val="17"/>
          <w:szCs w:val="17"/>
          <w:color w:val="auto"/>
        </w:rPr>
        <w:t xml:space="preserve"> of which (i) two (2) shall be appointed by White Mountains Capital, Inc. and, (ii) for so long as there are any Management Member Representatives (as defined in the LLC Agreement) serving on the Board, one (1) shall be Management Member Representative. All references herein to the Committee shall be deemed to refer to the Board for purposes of any period or periods during which the Board has elected to administer the Plan in lieu of a Committee.</w:t>
      </w:r>
    </w:p>
    <w:p>
      <w:pPr>
        <w:spacing w:after="0" w:line="181" w:lineRule="exact"/>
        <w:rPr>
          <w:rFonts w:ascii="Arial" w:cs="Arial" w:eastAsia="Arial" w:hAnsi="Arial"/>
          <w:sz w:val="17"/>
          <w:szCs w:val="17"/>
          <w:color w:val="auto"/>
        </w:rPr>
      </w:pPr>
    </w:p>
    <w:p>
      <w:pPr>
        <w:ind w:left="10" w:right="560" w:firstLine="410"/>
        <w:spacing w:after="0" w:line="279" w:lineRule="auto"/>
        <w:tabs>
          <w:tab w:leader="none" w:pos="673"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Powers of Committee.</w:t>
      </w:r>
      <w:r>
        <w:rPr>
          <w:rFonts w:ascii="Arial" w:cs="Arial" w:eastAsia="Arial" w:hAnsi="Arial"/>
          <w:sz w:val="17"/>
          <w:szCs w:val="17"/>
          <w:color w:val="auto"/>
        </w:rPr>
        <w:t xml:space="preserve"> The Committee shall, subject to the terms of the LLC Agreement, have the power and authority to grant Awards consistent with the terms of the Plan, including the power and authority:</w:t>
      </w:r>
    </w:p>
    <w:p>
      <w:pPr>
        <w:spacing w:after="0" w:line="99"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10"/>
          </w:cols>
          <w:pgMar w:left="690" w:top="269" w:right="699" w:bottom="1440" w:gutter="0" w:footer="0" w:header="0"/>
        </w:sectPr>
      </w:pPr>
    </w:p>
    <w:bookmarkStart w:id="29" w:name="page30"/>
    <w:bookmarkEnd w:id="29"/>
    <w:p>
      <w:pPr>
        <w:ind w:left="1140" w:hanging="204"/>
        <w:spacing w:after="0"/>
        <w:tabs>
          <w:tab w:leader="none" w:pos="1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247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155180" cy="24765"/>
                    </a:xfrm>
                    <a:prstGeom prst="rect">
                      <a:avLst/>
                    </a:prstGeom>
                    <a:noFill/>
                  </pic:spPr>
                </pic:pic>
              </a:graphicData>
            </a:graphic>
          </wp:anchor>
        </w:drawing>
        <w:t xml:space="preserve">to select the Persons, subject to </w:t>
      </w:r>
      <w:r>
        <w:rPr>
          <w:rFonts w:ascii="Arial" w:cs="Arial" w:eastAsia="Arial" w:hAnsi="Arial"/>
          <w:sz w:val="17"/>
          <w:szCs w:val="17"/>
          <w:u w:val="single" w:color="auto"/>
          <w:color w:val="auto"/>
        </w:rPr>
        <w:t>Section 4(c)</w:t>
      </w:r>
      <w:r>
        <w:rPr>
          <w:rFonts w:ascii="Arial" w:cs="Arial" w:eastAsia="Arial" w:hAnsi="Arial"/>
          <w:sz w:val="17"/>
          <w:szCs w:val="17"/>
          <w:color w:val="auto"/>
        </w:rPr>
        <w:t xml:space="preserve"> hereof, to whom Awards may from time to time be granted;</w:t>
      </w:r>
    </w:p>
    <w:p>
      <w:pPr>
        <w:spacing w:after="0" w:line="216" w:lineRule="exact"/>
        <w:rPr>
          <w:rFonts w:ascii="Arial" w:cs="Arial" w:eastAsia="Arial" w:hAnsi="Arial"/>
          <w:sz w:val="17"/>
          <w:szCs w:val="17"/>
          <w:color w:val="auto"/>
        </w:rPr>
      </w:pPr>
    </w:p>
    <w:p>
      <w:pPr>
        <w:ind w:left="1180" w:hanging="244"/>
        <w:spacing w:after="0"/>
        <w:tabs>
          <w:tab w:leader="none" w:pos="11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determine the time or times of grant;</w:t>
      </w:r>
    </w:p>
    <w:p>
      <w:pPr>
        <w:spacing w:after="0" w:line="216" w:lineRule="exact"/>
        <w:rPr>
          <w:rFonts w:ascii="Arial" w:cs="Arial" w:eastAsia="Arial" w:hAnsi="Arial"/>
          <w:sz w:val="17"/>
          <w:szCs w:val="17"/>
          <w:color w:val="auto"/>
        </w:rPr>
      </w:pPr>
    </w:p>
    <w:p>
      <w:pPr>
        <w:ind w:left="1240" w:hanging="304"/>
        <w:spacing w:after="0"/>
        <w:tabs>
          <w:tab w:leader="none" w:pos="1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determine the number of Restricted Units to be covered by any Award;</w:t>
      </w:r>
    </w:p>
    <w:p>
      <w:pPr>
        <w:spacing w:after="0" w:line="216" w:lineRule="exact"/>
        <w:rPr>
          <w:rFonts w:ascii="Arial" w:cs="Arial" w:eastAsia="Arial" w:hAnsi="Arial"/>
          <w:sz w:val="17"/>
          <w:szCs w:val="17"/>
          <w:color w:val="auto"/>
        </w:rPr>
      </w:pPr>
    </w:p>
    <w:p>
      <w:pPr>
        <w:ind w:firstLine="936"/>
        <w:spacing w:after="0" w:line="261" w:lineRule="auto"/>
        <w:tabs>
          <w:tab w:leader="none" w:pos="1236"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to determine and modify from time to time the terms and conditions, including restrictions, not inconsistent with the terms of the Plan, of any Award, which terms and conditions may differ among individual Awards and Grantees, and to approve the form of written instruments evidencing the Awards;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no Award which has been issued hereunder may be subsequently modified or terminated without the written consent of the Grantee thereof;</w:t>
      </w:r>
    </w:p>
    <w:p>
      <w:pPr>
        <w:spacing w:after="0" w:line="179" w:lineRule="exact"/>
        <w:rPr>
          <w:rFonts w:ascii="Arial" w:cs="Arial" w:eastAsia="Arial" w:hAnsi="Arial"/>
          <w:sz w:val="17"/>
          <w:szCs w:val="17"/>
          <w:color w:val="auto"/>
        </w:rPr>
      </w:pPr>
    </w:p>
    <w:p>
      <w:pPr>
        <w:ind w:right="580" w:firstLine="936"/>
        <w:spacing w:after="0" w:line="279" w:lineRule="auto"/>
        <w:tabs>
          <w:tab w:leader="none" w:pos="1189"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accelerate at any time the exercisability or vesting of all or any portion of any Award and/or to include provisions in Awards providing for such acceleration;</w:t>
      </w:r>
    </w:p>
    <w:p>
      <w:pPr>
        <w:spacing w:after="0" w:line="163" w:lineRule="exact"/>
        <w:rPr>
          <w:rFonts w:ascii="Arial" w:cs="Arial" w:eastAsia="Arial" w:hAnsi="Arial"/>
          <w:sz w:val="17"/>
          <w:szCs w:val="17"/>
          <w:color w:val="auto"/>
        </w:rPr>
      </w:pPr>
    </w:p>
    <w:p>
      <w:pPr>
        <w:ind w:right="160" w:firstLine="936"/>
        <w:spacing w:after="0" w:line="279" w:lineRule="auto"/>
        <w:tabs>
          <w:tab w:leader="none" w:pos="1236"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impose any limitations on Awards granted under the Plan, including, by way of example only, limitations on transfers, repurchase and forfeiture provisions, and to exercise the Company’s rights with respect to any such limitations; and</w:t>
      </w:r>
    </w:p>
    <w:p>
      <w:pPr>
        <w:spacing w:after="0" w:line="163" w:lineRule="exact"/>
        <w:rPr>
          <w:rFonts w:ascii="Arial" w:cs="Arial" w:eastAsia="Arial" w:hAnsi="Arial"/>
          <w:sz w:val="17"/>
          <w:szCs w:val="17"/>
          <w:color w:val="auto"/>
        </w:rPr>
      </w:pPr>
    </w:p>
    <w:p>
      <w:pPr>
        <w:ind w:right="80" w:firstLine="936"/>
        <w:spacing w:after="0" w:line="261" w:lineRule="auto"/>
        <w:tabs>
          <w:tab w:leader="none" w:pos="1284" w:val="left"/>
        </w:tabs>
        <w:numPr>
          <w:ilvl w:val="0"/>
          <w:numId w:val="19"/>
        </w:numPr>
        <w:rPr>
          <w:rFonts w:ascii="Arial" w:cs="Arial" w:eastAsia="Arial" w:hAnsi="Arial"/>
          <w:sz w:val="17"/>
          <w:szCs w:val="17"/>
          <w:color w:val="auto"/>
        </w:rPr>
      </w:pPr>
      <w:r>
        <w:rPr>
          <w:rFonts w:ascii="Arial" w:cs="Arial" w:eastAsia="Arial" w:hAnsi="Arial"/>
          <w:sz w:val="17"/>
          <w:szCs w:val="17"/>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80" w:lineRule="exact"/>
        <w:rPr>
          <w:sz w:val="20"/>
          <w:szCs w:val="20"/>
          <w:color w:val="auto"/>
        </w:rPr>
      </w:pPr>
    </w:p>
    <w:p>
      <w:pPr>
        <w:ind w:right="120" w:firstLine="946"/>
        <w:spacing w:after="0" w:line="279" w:lineRule="auto"/>
        <w:rPr>
          <w:sz w:val="20"/>
          <w:szCs w:val="20"/>
          <w:color w:val="auto"/>
        </w:rPr>
      </w:pPr>
      <w:r>
        <w:rPr>
          <w:rFonts w:ascii="Arial" w:cs="Arial" w:eastAsia="Arial" w:hAnsi="Arial"/>
          <w:sz w:val="17"/>
          <w:szCs w:val="17"/>
          <w:color w:val="auto"/>
        </w:rPr>
        <w:t>All decisions and interpretations of the Committee shall be binding on all Persons, including the Company, the Company’s Members and Grantees of any Awards hereunder.</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UNITS ISSUABLE UNDER THE PLAN</w:t>
      </w:r>
    </w:p>
    <w:p>
      <w:pPr>
        <w:spacing w:after="0" w:line="114" w:lineRule="exact"/>
        <w:rPr>
          <w:sz w:val="20"/>
          <w:szCs w:val="20"/>
          <w:color w:val="auto"/>
        </w:rPr>
      </w:pPr>
    </w:p>
    <w:p>
      <w:pPr>
        <w:ind w:right="40" w:firstLine="410"/>
        <w:spacing w:after="0" w:line="302" w:lineRule="auto"/>
        <w:tabs>
          <w:tab w:leader="none" w:pos="653" w:val="left"/>
        </w:tabs>
        <w:numPr>
          <w:ilvl w:val="0"/>
          <w:numId w:val="20"/>
        </w:numPr>
        <w:rPr>
          <w:rFonts w:ascii="Arial" w:cs="Arial" w:eastAsia="Arial" w:hAnsi="Arial"/>
          <w:sz w:val="15"/>
          <w:szCs w:val="15"/>
          <w:color w:val="auto"/>
        </w:rPr>
      </w:pPr>
      <w:r>
        <w:rPr>
          <w:rFonts w:ascii="Arial" w:cs="Arial" w:eastAsia="Arial" w:hAnsi="Arial"/>
          <w:sz w:val="15"/>
          <w:szCs w:val="15"/>
          <w:u w:val="single" w:color="auto"/>
          <w:color w:val="auto"/>
        </w:rPr>
        <w:t>Units Issuable.</w:t>
      </w:r>
      <w:r>
        <w:rPr>
          <w:rFonts w:ascii="Arial" w:cs="Arial" w:eastAsia="Arial" w:hAnsi="Arial"/>
          <w:sz w:val="15"/>
          <w:szCs w:val="15"/>
          <w:color w:val="auto"/>
        </w:rPr>
        <w:t xml:space="preserve"> The maximum aggregate number of Restricted Units reserved and available for issuance under the Plan shall initially be One Hundred Four Thousand Nine Hundred Seventy Two (104,972) Units. The maximum number of Restricted Units which may be issued under the Plan may be increased or decreased from time to time by Required Consent, but may not be decreased below the number of Restricted Units at the time issued hereunder and outstanding. For purposes of this limitation, the Restricted Units underlying any Award which are redeemed or repurchased by the Company pursuant to the LLC Agreement or are otherwise terminated shall be cancelled and shall be available for reissuance hereunder.</w:t>
      </w:r>
    </w:p>
    <w:p>
      <w:pPr>
        <w:spacing w:after="0" w:line="151" w:lineRule="exact"/>
        <w:rPr>
          <w:rFonts w:ascii="Arial" w:cs="Arial" w:eastAsia="Arial" w:hAnsi="Arial"/>
          <w:sz w:val="15"/>
          <w:szCs w:val="15"/>
          <w:color w:val="auto"/>
        </w:rPr>
      </w:pPr>
    </w:p>
    <w:p>
      <w:pPr>
        <w:ind w:right="80" w:firstLine="410"/>
        <w:spacing w:after="0" w:line="261" w:lineRule="auto"/>
        <w:tabs>
          <w:tab w:leader="none" w:pos="663"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Issuance of Units; Revaluation of Company Assets.</w:t>
      </w:r>
      <w:r>
        <w:rPr>
          <w:rFonts w:ascii="Arial" w:cs="Arial" w:eastAsia="Arial" w:hAnsi="Arial"/>
          <w:sz w:val="17"/>
          <w:szCs w:val="17"/>
          <w:color w:val="auto"/>
        </w:rPr>
        <w:t xml:space="preserve"> Restricted Units shall be issued by the Company pursuant to the terms of the Plan and the LLC Agreement. At the election of the Committee, immediately prior to the issuance of any Restricted Units, the Company may revalue all Company property (whether tangible or intangible) for book purposes to reflect the Fair Market Value thereof (or, if greater, the amount of any nonrecourse indebtedness to which such property is subject within the meaning of Code Section 770l(a)).</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460"/>
          </w:cols>
          <w:pgMar w:left="700" w:top="269" w:right="739" w:bottom="1440" w:gutter="0" w:footer="0" w:header="0"/>
        </w:sectPr>
      </w:pPr>
    </w:p>
    <w:bookmarkStart w:id="30" w:name="page31"/>
    <w:bookmarkEnd w:id="30"/>
    <w:p>
      <w:pPr>
        <w:ind w:right="60" w:firstLine="410"/>
        <w:spacing w:after="0" w:line="259" w:lineRule="auto"/>
        <w:tabs>
          <w:tab w:leader="none" w:pos="653"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24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155180" cy="24765"/>
                    </a:xfrm>
                    <a:prstGeom prst="rect">
                      <a:avLst/>
                    </a:prstGeom>
                    <a:noFill/>
                  </pic:spPr>
                </pic:pic>
              </a:graphicData>
            </a:graphic>
          </wp:anchor>
        </w:drawing>
        <w:t>Eligibility.</w:t>
      </w:r>
      <w:r>
        <w:rPr>
          <w:rFonts w:ascii="Arial" w:cs="Arial" w:eastAsia="Arial" w:hAnsi="Arial"/>
          <w:sz w:val="17"/>
          <w:szCs w:val="17"/>
          <w:color w:val="auto"/>
        </w:rPr>
        <w:t xml:space="preserve"> Awards may be granted to such employees, directors, managers, advisors and/or independent contractors (including prospective employees, managers, advisors and/or independent contractors to whom Awards are granted in connection with written offers of employment or other Service Relationship) of the Company or its Subsidiaries, who are responsible for, or contribute to, the management, growth or profitability of the Company or its Subsidiaries, and who are selected from time to time by the Committee in its sole discretion. No Service Provider shall have any right to be designated as a Grantee.</w:t>
      </w:r>
    </w:p>
    <w:p>
      <w:pPr>
        <w:spacing w:after="0" w:line="181" w:lineRule="exact"/>
        <w:rPr>
          <w:rFonts w:ascii="Arial" w:cs="Arial" w:eastAsia="Arial" w:hAnsi="Arial"/>
          <w:sz w:val="17"/>
          <w:szCs w:val="17"/>
          <w:color w:val="auto"/>
        </w:rPr>
      </w:pPr>
    </w:p>
    <w:p>
      <w:pPr>
        <w:ind w:firstLine="410"/>
        <w:spacing w:after="0" w:line="293" w:lineRule="auto"/>
        <w:tabs>
          <w:tab w:leader="none" w:pos="663" w:val="left"/>
        </w:tabs>
        <w:numPr>
          <w:ilvl w:val="0"/>
          <w:numId w:val="21"/>
        </w:numPr>
        <w:rPr>
          <w:rFonts w:ascii="Arial" w:cs="Arial" w:eastAsia="Arial" w:hAnsi="Arial"/>
          <w:sz w:val="15"/>
          <w:szCs w:val="15"/>
          <w:color w:val="auto"/>
        </w:rPr>
      </w:pPr>
      <w:r>
        <w:rPr>
          <w:rFonts w:ascii="Arial" w:cs="Arial" w:eastAsia="Arial" w:hAnsi="Arial"/>
          <w:sz w:val="15"/>
          <w:szCs w:val="15"/>
          <w:u w:val="single" w:color="auto"/>
          <w:color w:val="auto"/>
        </w:rPr>
        <w:t>Conversion Into Corporation.</w:t>
      </w:r>
      <w:r>
        <w:rPr>
          <w:rFonts w:ascii="Arial" w:cs="Arial" w:eastAsia="Arial" w:hAnsi="Arial"/>
          <w:sz w:val="15"/>
          <w:szCs w:val="15"/>
          <w:color w:val="auto"/>
        </w:rPr>
        <w:t xml:space="preserve"> Upon any conversion of the Company into a corporation, each Unit shall convert into shares of common stock of the Successor, in such manner as the Board shall determine at the time of conversion, with substantially equivalent rights and preferences to those of the Units, and the shares of such common stock shall be allocated among the Members in exchange for their respective Units such that each Member shall receive the number of shares of common stock so that its ownership interest in the remaining assets of the Successor upon a liquidation event are substantially identical to its ownership interest in the Company, taking into account the Capital Account of each Member and the Participation Threshold applicable to each Unit immediately prior to conversion (the </w:t>
      </w:r>
      <w:r>
        <w:rPr>
          <w:rFonts w:ascii="Arial" w:cs="Arial" w:eastAsia="Arial" w:hAnsi="Arial"/>
          <w:sz w:val="15"/>
          <w:szCs w:val="15"/>
          <w:i w:val="1"/>
          <w:iCs w:val="1"/>
          <w:color w:val="auto"/>
        </w:rPr>
        <w:t>“</w:t>
      </w:r>
      <w:r>
        <w:rPr>
          <w:rFonts w:ascii="Arial" w:cs="Arial" w:eastAsia="Arial" w:hAnsi="Arial"/>
          <w:sz w:val="15"/>
          <w:szCs w:val="15"/>
          <w:i w:val="1"/>
          <w:iCs w:val="1"/>
          <w:u w:val="single" w:color="auto"/>
          <w:color w:val="auto"/>
        </w:rPr>
        <w:t>Conversion Stock</w:t>
      </w:r>
      <w:r>
        <w:rPr>
          <w:rFonts w:ascii="Arial" w:cs="Arial" w:eastAsia="Arial" w:hAnsi="Arial"/>
          <w:sz w:val="15"/>
          <w:szCs w:val="15"/>
          <w:i w:val="1"/>
          <w:iCs w:val="1"/>
          <w:color w:val="auto"/>
        </w:rPr>
        <w:t>”)</w:t>
      </w:r>
      <w:r>
        <w:rPr>
          <w:rFonts w:ascii="Arial" w:cs="Arial" w:eastAsia="Arial" w:hAnsi="Arial"/>
          <w:sz w:val="15"/>
          <w:szCs w:val="15"/>
          <w:color w:val="auto"/>
        </w:rPr>
        <w:t xml:space="preserve">. Each Award hereunder shall provide that the Grantee thereof will agree to any amendment to the applicable Award at the time such a conversion is necessary or desirable to confirm that the terms and restrictions of such Award shall apply, </w:t>
      </w:r>
      <w:r>
        <w:rPr>
          <w:rFonts w:ascii="Arial" w:cs="Arial" w:eastAsia="Arial" w:hAnsi="Arial"/>
          <w:sz w:val="15"/>
          <w:szCs w:val="15"/>
          <w:i w:val="1"/>
          <w:iCs w:val="1"/>
          <w:color w:val="auto"/>
        </w:rPr>
        <w:t>mutatis mutandis,</w:t>
      </w:r>
      <w:r>
        <w:rPr>
          <w:rFonts w:ascii="Arial" w:cs="Arial" w:eastAsia="Arial" w:hAnsi="Arial"/>
          <w:sz w:val="15"/>
          <w:szCs w:val="15"/>
          <w:color w:val="auto"/>
        </w:rPr>
        <w:t xml:space="preserve"> to the resulting Conversion Stock;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repurchase provisions set forth in the LLC Agreement with respect to Vested Units (including, without limitation, the resulting Conversion Stock) shall terminate in full upon a Qualified Public Offering of such successor corporation. The Conversion Stock shall be “restricted securities” for purposes of Rule 144 under the Securities Act.</w:t>
      </w:r>
    </w:p>
    <w:p>
      <w:pPr>
        <w:spacing w:after="0" w:line="160" w:lineRule="exact"/>
        <w:rPr>
          <w:rFonts w:ascii="Arial" w:cs="Arial" w:eastAsia="Arial" w:hAnsi="Arial"/>
          <w:sz w:val="15"/>
          <w:szCs w:val="15"/>
          <w:color w:val="auto"/>
        </w:rPr>
      </w:pPr>
    </w:p>
    <w:p>
      <w:pPr>
        <w:ind w:firstLine="410"/>
        <w:spacing w:after="0" w:line="274" w:lineRule="auto"/>
        <w:tabs>
          <w:tab w:leader="none" w:pos="653"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Substitute Awards.</w:t>
      </w:r>
      <w:r>
        <w:rPr>
          <w:rFonts w:ascii="Arial" w:cs="Arial" w:eastAsia="Arial" w:hAnsi="Arial"/>
          <w:sz w:val="16"/>
          <w:szCs w:val="16"/>
          <w:color w:val="auto"/>
        </w:rPr>
        <w:t xml:space="preserve"> In the event of any recapitalization or reorganization of the Company, split, reverse split or dividend of Units, or other change in the Units of the Company which affects the Restricted Units (collectively, a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Reorganization</w:t>
      </w:r>
      <w:r>
        <w:rPr>
          <w:rFonts w:ascii="Arial" w:cs="Arial" w:eastAsia="Arial" w:hAnsi="Arial"/>
          <w:sz w:val="16"/>
          <w:szCs w:val="16"/>
          <w:i w:val="1"/>
          <w:iCs w:val="1"/>
          <w:color w:val="auto"/>
        </w:rPr>
        <w:t>”),</w:t>
      </w:r>
      <w:r>
        <w:rPr>
          <w:rFonts w:ascii="Arial" w:cs="Arial" w:eastAsia="Arial" w:hAnsi="Arial"/>
          <w:sz w:val="16"/>
          <w:szCs w:val="16"/>
          <w:color w:val="auto"/>
        </w:rPr>
        <w:t xml:space="preserve"> the terms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Restricted Units</w:t>
      </w:r>
      <w:r>
        <w:rPr>
          <w:rFonts w:ascii="Arial" w:cs="Arial" w:eastAsia="Arial" w:hAnsi="Arial"/>
          <w:sz w:val="16"/>
          <w:szCs w:val="16"/>
          <w:i w:val="1"/>
          <w:iCs w:val="1"/>
          <w:color w:val="auto"/>
        </w:rPr>
        <w:t>,”</w:t>
      </w:r>
      <w:r>
        <w:rPr>
          <w:rFonts w:ascii="Arial" w:cs="Arial" w:eastAsia="Arial" w:hAnsi="Arial"/>
          <w:sz w:val="16"/>
          <w:szCs w:val="16"/>
          <w:color w:val="auto"/>
        </w:rPr>
        <w:t xml:space="preserve"> and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Units</w:t>
      </w:r>
      <w:r>
        <w:rPr>
          <w:rFonts w:ascii="Arial" w:cs="Arial" w:eastAsia="Arial" w:hAnsi="Arial"/>
          <w:sz w:val="16"/>
          <w:szCs w:val="16"/>
          <w:i w:val="1"/>
          <w:iCs w:val="1"/>
          <w:color w:val="auto"/>
        </w:rPr>
        <w:t>”</w:t>
      </w:r>
      <w:r>
        <w:rPr>
          <w:rFonts w:ascii="Arial" w:cs="Arial" w:eastAsia="Arial" w:hAnsi="Arial"/>
          <w:sz w:val="16"/>
          <w:szCs w:val="16"/>
          <w:color w:val="auto"/>
        </w:rPr>
        <w:t xml:space="preserve"> hereunder shall include (i) the Restricted Units of the Company, as modified by such Reorganization, and (ii) any interests or other securities or property, if any, that a holder of Restricted Units receives or becomes entitled to receive as a result of his or her ownership of the original Restricted Units at the time of such Reorganization. The Committee may grant Awards under the Plan in substitution for the Restricted Units or rights to acquire Restricted Units held by employees, managers, directors, advisors or independent contractors of another company in connection with a merger or consolidation of such company with the Company (or any Parent or Subsidiary) or the acquisition by the Company (or any Parent or Subsidiary) of substantially all of the assets or stock of such company. The Committee may direct that the substitute Awards be granted on such terms and conditions as the Committee considers appropriate in the circumstances.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500"/>
          </w:cols>
          <w:pgMar w:left="700" w:top="269" w:right="699" w:bottom="1440" w:gutter="0" w:footer="0" w:header="0"/>
        </w:sectPr>
      </w:pPr>
    </w:p>
    <w:bookmarkStart w:id="31" w:name="page32"/>
    <w:bookmarkEnd w:id="3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24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155180" cy="24765"/>
                    </a:xfrm>
                    <a:prstGeom prst="rect">
                      <a:avLst/>
                    </a:prstGeom>
                    <a:noFill/>
                  </pic:spPr>
                </pic:pic>
              </a:graphicData>
            </a:graphic>
          </wp:anchor>
        </w:drawing>
        <w:t xml:space="preserve">SECTION 5. </w:t>
      </w:r>
      <w:r>
        <w:rPr>
          <w:rFonts w:ascii="Arial" w:cs="Arial" w:eastAsia="Arial" w:hAnsi="Arial"/>
          <w:sz w:val="17"/>
          <w:szCs w:val="17"/>
          <w:u w:val="single" w:color="auto"/>
          <w:color w:val="auto"/>
        </w:rPr>
        <w:t>RESTRICTED UNIT AWARDS</w:t>
      </w:r>
    </w:p>
    <w:p>
      <w:pPr>
        <w:spacing w:after="0" w:line="114" w:lineRule="exact"/>
        <w:rPr>
          <w:sz w:val="20"/>
          <w:szCs w:val="20"/>
          <w:color w:val="auto"/>
        </w:rPr>
      </w:pPr>
    </w:p>
    <w:p>
      <w:pPr>
        <w:jc w:val="both"/>
        <w:ind w:firstLine="946"/>
        <w:spacing w:after="0" w:line="266" w:lineRule="auto"/>
        <w:rPr>
          <w:sz w:val="20"/>
          <w:szCs w:val="20"/>
          <w:color w:val="auto"/>
        </w:rPr>
      </w:pPr>
      <w:r>
        <w:rPr>
          <w:rFonts w:ascii="Arial" w:cs="Arial" w:eastAsia="Arial" w:hAnsi="Arial"/>
          <w:sz w:val="17"/>
          <w:szCs w:val="17"/>
          <w:color w:val="auto"/>
        </w:rPr>
        <w:t>Any Restricted Unit to be granted under the Plan shall be granted only pursuant to a Restricted Unit Award, with such changes, corrections or adjustments thereto as the Committee may from time to time approve (either generally or in any single instance). Restricted Unit Awards need not be identical.</w:t>
      </w:r>
    </w:p>
    <w:p>
      <w:pPr>
        <w:spacing w:after="0" w:line="174" w:lineRule="exact"/>
        <w:rPr>
          <w:sz w:val="20"/>
          <w:szCs w:val="20"/>
          <w:color w:val="auto"/>
        </w:rPr>
      </w:pPr>
    </w:p>
    <w:p>
      <w:pPr>
        <w:ind w:right="40" w:firstLine="410"/>
        <w:spacing w:after="0" w:line="266" w:lineRule="auto"/>
        <w:tabs>
          <w:tab w:leader="none" w:pos="653"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Terms of Restricted Unit Awards.</w:t>
      </w:r>
      <w:r>
        <w:rPr>
          <w:rFonts w:ascii="Arial" w:cs="Arial" w:eastAsia="Arial" w:hAnsi="Arial"/>
          <w:sz w:val="17"/>
          <w:szCs w:val="17"/>
          <w:color w:val="auto"/>
        </w:rPr>
        <w:t xml:space="preserve"> Restricted Unit Awards granted under the Plan shall contain such terms and conditions, not inconsistent with the Plan, as the Committee shall deem desirable, which may include time and/or performance based vesting of Restricted Units and restrictions on transferability of Restricted Units, whether or not the same shall have become Vested Units.</w:t>
      </w:r>
    </w:p>
    <w:p>
      <w:pPr>
        <w:spacing w:after="0" w:line="174" w:lineRule="exact"/>
        <w:rPr>
          <w:rFonts w:ascii="Arial" w:cs="Arial" w:eastAsia="Arial" w:hAnsi="Arial"/>
          <w:sz w:val="17"/>
          <w:szCs w:val="17"/>
          <w:color w:val="auto"/>
        </w:rPr>
      </w:pPr>
    </w:p>
    <w:p>
      <w:pPr>
        <w:ind w:right="140" w:firstLine="410"/>
        <w:spacing w:after="0" w:line="261" w:lineRule="auto"/>
        <w:tabs>
          <w:tab w:leader="none" w:pos="663"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Rights of Unit Holder.</w:t>
      </w:r>
      <w:r>
        <w:rPr>
          <w:rFonts w:ascii="Arial" w:cs="Arial" w:eastAsia="Arial" w:hAnsi="Arial"/>
          <w:sz w:val="17"/>
          <w:szCs w:val="17"/>
          <w:color w:val="auto"/>
        </w:rPr>
        <w:t xml:space="preserve"> The rights, preferences and privileges of the Restricted Units shall be as from time to time set forth in the LLC Agreement. Notwithstanding anything to the contrary contained herein or in any Restricted Unit Award, the rights, privileges, duties, restrictions, qualifications and/or limitations appurtenant to Units, including Restricted Units which are the object of existing Awards, may be amended at any time in accordance with the terms of the LLC Agreement.</w:t>
      </w:r>
    </w:p>
    <w:p>
      <w:pPr>
        <w:spacing w:after="0" w:line="179" w:lineRule="exact"/>
        <w:rPr>
          <w:rFonts w:ascii="Arial" w:cs="Arial" w:eastAsia="Arial" w:hAnsi="Arial"/>
          <w:sz w:val="17"/>
          <w:szCs w:val="17"/>
          <w:color w:val="auto"/>
        </w:rPr>
      </w:pPr>
    </w:p>
    <w:p>
      <w:pPr>
        <w:ind w:right="120" w:firstLine="410"/>
        <w:spacing w:after="0" w:line="266" w:lineRule="auto"/>
        <w:tabs>
          <w:tab w:leader="none" w:pos="653"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Right of Redemption.</w:t>
      </w:r>
      <w:r>
        <w:rPr>
          <w:rFonts w:ascii="Arial" w:cs="Arial" w:eastAsia="Arial" w:hAnsi="Arial"/>
          <w:sz w:val="17"/>
          <w:szCs w:val="17"/>
          <w:color w:val="auto"/>
        </w:rPr>
        <w:t xml:space="preserve"> Restricted Units may be subject to a right of redemption by the Company or other conditions and restrictions as determined by the Committee and set forth in the LLC Agreement or the applicable Restricted Unit Award. The Company shall have the right to assign to any person at any time any redemption right it may have, whether or not such right is then exercisable.</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SERVICE RELATIONSHIP</w:t>
      </w:r>
    </w:p>
    <w:p>
      <w:pPr>
        <w:spacing w:after="0" w:line="114" w:lineRule="exact"/>
        <w:rPr>
          <w:sz w:val="20"/>
          <w:szCs w:val="20"/>
          <w:color w:val="auto"/>
        </w:rPr>
      </w:pPr>
    </w:p>
    <w:p>
      <w:pPr>
        <w:ind w:right="60" w:firstLine="410"/>
        <w:spacing w:after="0" w:line="259" w:lineRule="auto"/>
        <w:tabs>
          <w:tab w:leader="none" w:pos="653"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Other Compensation Arrangements: No Employment Rights.</w:t>
      </w:r>
      <w:r>
        <w:rPr>
          <w:rFonts w:ascii="Arial" w:cs="Arial" w:eastAsia="Arial" w:hAnsi="Arial"/>
          <w:sz w:val="17"/>
          <w:szCs w:val="17"/>
          <w:color w:val="auto"/>
        </w:rPr>
        <w:t xml:space="preserve"> Nothing contained in this Plan shall prevent the Board or the Committee from adopting alternative, substitute or additional compensation arrangements, including trusts, and such arrangements may be either generally applicable or applicable only in specific cases. The adoption of this Plan and the grant of Awards do not confer upon any Grantee any right to continued employment or other Service Relationship with the Company or any Subsidiary or interfere in any way with the right of the Company or its Subsidiaries to terminate the Grantee’s employment or other Service Relationship at any time.</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AMENDMENTS AND TERMINATION</w:t>
      </w:r>
    </w:p>
    <w:p>
      <w:pPr>
        <w:spacing w:after="0" w:line="114" w:lineRule="exact"/>
        <w:rPr>
          <w:sz w:val="20"/>
          <w:szCs w:val="20"/>
          <w:color w:val="auto"/>
        </w:rPr>
      </w:pPr>
    </w:p>
    <w:p>
      <w:pPr>
        <w:ind w:firstLine="946"/>
        <w:spacing w:after="0" w:line="259" w:lineRule="auto"/>
        <w:rPr>
          <w:sz w:val="20"/>
          <w:szCs w:val="20"/>
          <w:color w:val="auto"/>
        </w:rPr>
      </w:pPr>
      <w:r>
        <w:rPr>
          <w:rFonts w:ascii="Arial" w:cs="Arial" w:eastAsia="Arial" w:hAnsi="Arial"/>
          <w:sz w:val="17"/>
          <w:szCs w:val="17"/>
          <w:color w:val="auto"/>
        </w:rPr>
        <w:t>The Board may, at any time, amend or discontinue the Plan, but no such action shall adversely affect rights under any outstanding Award without the holder’s consent, except such amendments as are necessary to comply with applicable Law (including applicable provisions of the Securities Act and/or the Code). No termination or amendment of the Plan shall affect any outstanding Award unless expressly provided hereunder or as determined by the Board and approved in accordance with the first sentence of this Section 7. The Plan shall continue in effect until its termination by the Board.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480"/>
          </w:cols>
          <w:pgMar w:left="700" w:top="269" w:right="719" w:bottom="1440" w:gutter="0" w:footer="0" w:header="0"/>
        </w:sectPr>
      </w:pPr>
    </w:p>
    <w:bookmarkStart w:id="32" w:name="page33"/>
    <w:bookmarkEnd w:id="3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24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155180" cy="24765"/>
                    </a:xfrm>
                    <a:prstGeom prst="rect">
                      <a:avLst/>
                    </a:prstGeom>
                    <a:noFill/>
                  </pic:spPr>
                </pic:pic>
              </a:graphicData>
            </a:graphic>
          </wp:anchor>
        </w:drawing>
        <w:t xml:space="preserve">SECTION 8. </w:t>
      </w:r>
      <w:r>
        <w:rPr>
          <w:rFonts w:ascii="Arial" w:cs="Arial" w:eastAsia="Arial" w:hAnsi="Arial"/>
          <w:sz w:val="17"/>
          <w:szCs w:val="17"/>
          <w:u w:val="single" w:color="auto"/>
          <w:color w:val="auto"/>
        </w:rPr>
        <w:t>GENERAL PROVISIONS</w:t>
      </w:r>
    </w:p>
    <w:p>
      <w:pPr>
        <w:spacing w:after="0" w:line="114" w:lineRule="exact"/>
        <w:rPr>
          <w:sz w:val="20"/>
          <w:szCs w:val="20"/>
          <w:color w:val="auto"/>
        </w:rPr>
      </w:pPr>
    </w:p>
    <w:p>
      <w:pPr>
        <w:ind w:right="320" w:firstLine="410"/>
        <w:spacing w:after="0" w:line="279" w:lineRule="auto"/>
        <w:tabs>
          <w:tab w:leader="none" w:pos="653"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No Distribution; Compliance with Legal Requirements.</w:t>
      </w:r>
      <w:r>
        <w:rPr>
          <w:rFonts w:ascii="Arial" w:cs="Arial" w:eastAsia="Arial" w:hAnsi="Arial"/>
          <w:sz w:val="17"/>
          <w:szCs w:val="17"/>
          <w:color w:val="auto"/>
        </w:rPr>
        <w:t xml:space="preserve"> The grant of Awards and the issuance of Restricted Units pursuant thereto shall be subject to compliance with all applicable requirements of federal, state and foreign Law with respect to such securities.</w:t>
      </w:r>
    </w:p>
    <w:p>
      <w:pPr>
        <w:spacing w:after="0" w:line="163" w:lineRule="exact"/>
        <w:rPr>
          <w:rFonts w:ascii="Arial" w:cs="Arial" w:eastAsia="Arial" w:hAnsi="Arial"/>
          <w:sz w:val="17"/>
          <w:szCs w:val="17"/>
          <w:color w:val="auto"/>
        </w:rPr>
      </w:pPr>
    </w:p>
    <w:p>
      <w:pPr>
        <w:ind w:right="180" w:firstLine="410"/>
        <w:spacing w:after="0" w:line="290" w:lineRule="auto"/>
        <w:tabs>
          <w:tab w:leader="none" w:pos="663"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Conflict with LLC Agreement.</w:t>
      </w:r>
      <w:r>
        <w:rPr>
          <w:rFonts w:ascii="Arial" w:cs="Arial" w:eastAsia="Arial" w:hAnsi="Arial"/>
          <w:sz w:val="16"/>
          <w:szCs w:val="16"/>
          <w:color w:val="auto"/>
        </w:rPr>
        <w:t xml:space="preserve"> In the event of a conflict between the terms and provisions of this Plan and the terms and provisions of the LLC Agreement, the terms and provisions of the LLC Agreement shall govern. In the event of a conflict between the terms and provisions of this Plan and the terms and provisions of a Restricted Unit Award, the terms and provisions of this Plan shall govern.</w:t>
      </w:r>
    </w:p>
    <w:p>
      <w:pPr>
        <w:spacing w:after="0" w:line="157" w:lineRule="exact"/>
        <w:rPr>
          <w:rFonts w:ascii="Arial" w:cs="Arial" w:eastAsia="Arial" w:hAnsi="Arial"/>
          <w:sz w:val="16"/>
          <w:szCs w:val="16"/>
          <w:color w:val="auto"/>
        </w:rPr>
      </w:pPr>
    </w:p>
    <w:p>
      <w:pPr>
        <w:ind w:firstLine="410"/>
        <w:spacing w:after="0" w:line="279" w:lineRule="auto"/>
        <w:tabs>
          <w:tab w:leader="none" w:pos="653"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xml:space="preserve"> This Plan and all Awards and actions taken thereunder shall be governed by the laws of the State of Delaware, applied without regard to conflict of law principles thereof.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480"/>
          </w:cols>
          <w:pgMar w:left="700" w:top="269" w:right="719" w:bottom="1440" w:gutter="0" w:footer="0" w:header="0"/>
        </w:sectPr>
      </w:pPr>
    </w:p>
    <w:bookmarkStart w:id="33" w:name="page34"/>
    <w:bookmarkEnd w:id="33"/>
    <w:p>
      <w:pPr>
        <w:jc w:val="right"/>
        <w:spacing w:after="0"/>
        <w:rPr>
          <w:sz w:val="20"/>
          <w:szCs w:val="20"/>
          <w:color w:val="auto"/>
        </w:rPr>
      </w:pPr>
      <w:r>
        <w:rPr>
          <w:rFonts w:ascii="Arial" w:cs="Arial" w:eastAsia="Arial" w:hAnsi="Arial"/>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6962140" cy="27559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6962140" cy="2755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November 9, 2020</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MediaAlpha,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Registration Statement on Form S-8</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have acted as counsel for MediaAlpha,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registration statement on</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Form S-8 (the “</w:t>
      </w:r>
      <w:r>
        <w:rPr>
          <w:rFonts w:ascii="Arial" w:cs="Arial" w:eastAsia="Arial" w:hAnsi="Arial"/>
          <w:sz w:val="15"/>
          <w:szCs w:val="15"/>
          <w:u w:val="single" w:color="auto"/>
          <w:color w:val="auto"/>
        </w:rPr>
        <w:t>Registration Statement</w:t>
      </w:r>
      <w:r>
        <w:rPr>
          <w:rFonts w:ascii="Arial" w:cs="Arial" w:eastAsia="Arial" w:hAnsi="Arial"/>
          <w:sz w:val="15"/>
          <w:szCs w:val="15"/>
          <w:color w:val="auto"/>
        </w:rPr>
        <w:t>”), filed by the Company with the Securities and Exchange Commission (the “</w:t>
      </w:r>
      <w:r>
        <w:rPr>
          <w:rFonts w:ascii="Arial" w:cs="Arial" w:eastAsia="Arial" w:hAnsi="Arial"/>
          <w:sz w:val="15"/>
          <w:szCs w:val="15"/>
          <w:u w:val="single" w:color="auto"/>
          <w:color w:val="auto"/>
        </w:rPr>
        <w:t>Commission</w:t>
      </w:r>
      <w:r>
        <w:rPr>
          <w:rFonts w:ascii="Arial" w:cs="Arial" w:eastAsia="Arial" w:hAnsi="Arial"/>
          <w:sz w:val="15"/>
          <w:szCs w:val="15"/>
          <w:color w:val="auto"/>
        </w:rPr>
        <w:t>”) under the Securities</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Act of 1933, as amended (the “</w:t>
      </w:r>
      <w:r>
        <w:rPr>
          <w:rFonts w:ascii="Arial" w:cs="Arial" w:eastAsia="Arial" w:hAnsi="Arial"/>
          <w:sz w:val="15"/>
          <w:szCs w:val="15"/>
          <w:u w:val="single" w:color="auto"/>
          <w:color w:val="auto"/>
        </w:rPr>
        <w:t>Securities Act</w:t>
      </w:r>
      <w:r>
        <w:rPr>
          <w:rFonts w:ascii="Arial" w:cs="Arial" w:eastAsia="Arial" w:hAnsi="Arial"/>
          <w:sz w:val="15"/>
          <w:szCs w:val="15"/>
          <w:color w:val="auto"/>
        </w:rPr>
        <w:t>”), relating to the 12,506,550 shares of the Company’s Class A common stock, par value $0.01 per share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Shares</w:t>
      </w:r>
      <w:r>
        <w:rPr>
          <w:rFonts w:ascii="Arial" w:cs="Arial" w:eastAsia="Arial" w:hAnsi="Arial"/>
          <w:sz w:val="17"/>
          <w:szCs w:val="17"/>
          <w:color w:val="auto"/>
        </w:rPr>
        <w:t>”), issuable pursuant to the Company’s 2020 Omnibus Incentive Plan (the “</w:t>
      </w:r>
      <w:r>
        <w:rPr>
          <w:rFonts w:ascii="Arial" w:cs="Arial" w:eastAsia="Arial" w:hAnsi="Arial"/>
          <w:sz w:val="17"/>
          <w:szCs w:val="17"/>
          <w:u w:val="single" w:color="auto"/>
          <w:color w:val="auto"/>
        </w:rPr>
        <w:t>Omnibus Incentive Plan</w:t>
      </w:r>
      <w:r>
        <w:rPr>
          <w:rFonts w:ascii="Arial" w:cs="Arial" w:eastAsia="Arial" w:hAnsi="Arial"/>
          <w:sz w:val="17"/>
          <w:szCs w:val="17"/>
          <w:color w:val="auto"/>
        </w:rPr>
        <w:t>”).</w:t>
      </w:r>
    </w:p>
    <w:p>
      <w:pPr>
        <w:spacing w:after="0" w:line="206" w:lineRule="exact"/>
        <w:rPr>
          <w:sz w:val="20"/>
          <w:szCs w:val="20"/>
          <w:color w:val="auto"/>
        </w:rPr>
      </w:pPr>
    </w:p>
    <w:p>
      <w:pPr>
        <w:ind w:right="320" w:firstLine="420"/>
        <w:spacing w:after="0" w:line="261" w:lineRule="auto"/>
        <w:rPr>
          <w:sz w:val="20"/>
          <w:szCs w:val="20"/>
          <w:color w:val="auto"/>
        </w:rPr>
      </w:pPr>
      <w:r>
        <w:rPr>
          <w:rFonts w:ascii="Arial" w:cs="Arial" w:eastAsia="Arial" w:hAnsi="Arial"/>
          <w:sz w:val="17"/>
          <w:szCs w:val="17"/>
          <w:color w:val="auto"/>
        </w:rPr>
        <w:t>In that connection, we have examined originals, or copies certified or otherwise identified to our satisfaction, of such documents, corporate records and other instruments as we have deemed necessary or appropriate for the purposes of this opinion, including, without limitation: (a) the Amended and Restated Certificate of Incorporation of the Company; (b) the Amended and Restated By-laws of the Company; (c) certain resolutions adopted by the Board of Directors of the Company and (d) the Omnibus Incentive Plan.</w:t>
      </w:r>
    </w:p>
    <w:p>
      <w:pPr>
        <w:spacing w:after="0" w:line="180" w:lineRule="exact"/>
        <w:rPr>
          <w:sz w:val="20"/>
          <w:szCs w:val="20"/>
          <w:color w:val="auto"/>
        </w:rPr>
      </w:pPr>
    </w:p>
    <w:p>
      <w:pPr>
        <w:ind w:right="100" w:firstLine="420"/>
        <w:spacing w:after="0" w:line="261" w:lineRule="auto"/>
        <w:rPr>
          <w:sz w:val="20"/>
          <w:szCs w:val="20"/>
          <w:color w:val="auto"/>
        </w:rPr>
      </w:pPr>
      <w:r>
        <w:rPr>
          <w:rFonts w:ascii="Arial" w:cs="Arial" w:eastAsia="Arial" w:hAnsi="Arial"/>
          <w:sz w:val="17"/>
          <w:szCs w:val="17"/>
          <w:color w:val="auto"/>
        </w:rPr>
        <w:t>In rendering our opinion, we have assumed the genuineness of all signatures, the legal capacity and competency of all natural persons, the authenticity of all documents submitted to us as originals and the conformity to authentic original documents of all documents submitted to us as duplicates or copies. As to all questions of fact material to this opinion that have not been independently established, we have relied upon certificates or comparable documents of officers and representatives of the Company.</w:t>
      </w:r>
    </w:p>
    <w:p>
      <w:pPr>
        <w:spacing w:after="0" w:line="180" w:lineRule="exact"/>
        <w:rPr>
          <w:sz w:val="20"/>
          <w:szCs w:val="20"/>
          <w:color w:val="auto"/>
        </w:rPr>
      </w:pPr>
    </w:p>
    <w:p>
      <w:pPr>
        <w:ind w:right="420" w:firstLine="420"/>
        <w:spacing w:after="0" w:line="311" w:lineRule="auto"/>
        <w:rPr>
          <w:sz w:val="20"/>
          <w:szCs w:val="20"/>
          <w:color w:val="auto"/>
        </w:rPr>
      </w:pPr>
      <w:r>
        <w:rPr>
          <w:rFonts w:ascii="Arial" w:cs="Arial" w:eastAsia="Arial" w:hAnsi="Arial"/>
          <w:sz w:val="16"/>
          <w:szCs w:val="16"/>
          <w:color w:val="auto"/>
        </w:rPr>
        <w:t>Based on the foregoing and in reliance thereon, and subject to compliance with applicable state securities laws, we are of the opinion that the Shares when, and if, issued pursuant to the terms of the Omnibus Incentive Plan will be validly issued, fully paid and non-assessable.</w:t>
      </w:r>
    </w:p>
    <w:p>
      <w:pPr>
        <w:sectPr>
          <w:pgSz w:w="11900" w:h="16838" w:orient="portrait"/>
          <w:cols w:equalWidth="0" w:num="1">
            <w:col w:w="10500"/>
          </w:cols>
          <w:pgMar w:left="700" w:top="121" w:right="699" w:bottom="1440" w:gutter="0" w:footer="0" w:header="0"/>
        </w:sectPr>
      </w:pPr>
    </w:p>
    <w:bookmarkStart w:id="34" w:name="page35"/>
    <w:bookmarkEnd w:id="34"/>
    <w:p>
      <w:pPr>
        <w:ind w:right="500" w:firstLine="4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55180" cy="247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7155180" cy="24765"/>
                    </a:xfrm>
                    <a:prstGeom prst="rect">
                      <a:avLst/>
                    </a:prstGeom>
                    <a:noFill/>
                  </pic:spPr>
                </pic:pic>
              </a:graphicData>
            </a:graphic>
          </wp:anchor>
        </w:drawing>
        <w:t>We are admitted to practice in the State of New York, and we express no opinion as to matters governed by any laws other than the General Corporation Law of the State of Delaware and the Federal laws of the United States of America.</w:t>
      </w:r>
    </w:p>
    <w:p>
      <w:pPr>
        <w:spacing w:after="0" w:line="164" w:lineRule="exact"/>
        <w:rPr>
          <w:sz w:val="20"/>
          <w:szCs w:val="20"/>
          <w:color w:val="auto"/>
        </w:rPr>
      </w:pPr>
    </w:p>
    <w:p>
      <w:pPr>
        <w:ind w:firstLine="420"/>
        <w:spacing w:after="0" w:line="266" w:lineRule="auto"/>
        <w:rPr>
          <w:sz w:val="20"/>
          <w:szCs w:val="20"/>
          <w:color w:val="auto"/>
        </w:rPr>
      </w:pPr>
      <w:r>
        <w:rPr>
          <w:rFonts w:ascii="Arial" w:cs="Arial" w:eastAsia="Arial" w:hAnsi="Arial"/>
          <w:sz w:val="17"/>
          <w:szCs w:val="17"/>
          <w:color w:val="auto"/>
        </w:rPr>
        <w:t>We hereby consent to the filing of this opinion with the Commission as Exhibit 5.1 to the Registration Statement. In giving this consent, we do not hereby admit that we are within the category of persons whose consent is required under Section 7 of the Securities Act or the rules and regulations of the Commission promulgated thereunder.</w:t>
      </w:r>
    </w:p>
    <w:p>
      <w:pPr>
        <w:spacing w:after="0" w:line="200"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Very truly yours,</w:t>
      </w:r>
    </w:p>
    <w:p>
      <w:pPr>
        <w:spacing w:after="0" w:line="21"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/s/ Cravath, Swaine &amp; Moore LLP</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MediaAlpha, Inc.</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700 South Flower Street, Suite 640</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Los Angeles, California 90017</w:t>
      </w:r>
    </w:p>
    <w:p>
      <w:pPr>
        <w:sectPr>
          <w:pgSz w:w="11900" w:h="16838" w:orient="portrait"/>
          <w:cols w:equalWidth="0" w:num="1">
            <w:col w:w="10480"/>
          </w:cols>
          <w:pgMar w:left="700" w:top="269" w:right="719" w:bottom="1440" w:gutter="0" w:footer="0" w:header="0"/>
        </w:sectPr>
      </w:pPr>
    </w:p>
    <w:bookmarkStart w:id="35" w:name="page36"/>
    <w:bookmarkEnd w:id="35"/>
    <w:p>
      <w:pPr>
        <w:jc w:val="right"/>
        <w:spacing w:after="0"/>
        <w:rPr>
          <w:sz w:val="20"/>
          <w:szCs w:val="20"/>
          <w:color w:val="auto"/>
        </w:rPr>
      </w:pPr>
      <w:r>
        <w:rPr>
          <w:rFonts w:ascii="Arial" w:cs="Arial" w:eastAsia="Arial" w:hAnsi="Arial"/>
          <w:sz w:val="17"/>
          <w:szCs w:val="17"/>
          <w:b w:val="1"/>
          <w:bCs w:val="1"/>
          <w:color w:val="auto"/>
        </w:rPr>
        <w:t>Exhibit 23.1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CONSENT OF INDEPENDENT REGISTERED PUBLIC ACCOUNTING FIRM</w:t>
      </w:r>
    </w:p>
    <w:p>
      <w:pPr>
        <w:spacing w:after="0" w:line="217"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We hereby consent to the incorporation by reference in this Registration Statement on Form S-8 of MediaAlpha, Inc. of our report dated September 16, 2020 relating to the financial statements of QL Holdings LLC, which appears in MediaAlpha, Inc.’s final prospectus filed pursuant to Rule 424(b) on October 29, 2020, in connection with the Registration Statement on Form S-1 (File No. 333-249326), as amended. We also consent to the reference to us under the heading “Experts” in this Registration Statement.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November 9, 2020</w:t>
      </w:r>
    </w:p>
    <w:p>
      <w:pPr>
        <w:sectPr>
          <w:pgSz w:w="11900" w:h="16838" w:orient="portrait"/>
          <w:cols w:equalWidth="0" w:num="1">
            <w:col w:w="10500"/>
          </w:cols>
          <w:pgMar w:left="700" w:top="121" w:right="699" w:bottom="1440" w:gutter="0" w:footer="0" w:header="0"/>
        </w:sectPr>
      </w:pPr>
    </w:p>
    <w:bookmarkStart w:id="36" w:name="page37"/>
    <w:bookmarkEnd w:id="36"/>
    <w:p>
      <w:pPr>
        <w:jc w:val="right"/>
        <w:spacing w:after="0"/>
        <w:rPr>
          <w:sz w:val="20"/>
          <w:szCs w:val="20"/>
          <w:color w:val="auto"/>
        </w:rPr>
      </w:pPr>
      <w:r>
        <w:rPr>
          <w:rFonts w:ascii="Arial" w:cs="Arial" w:eastAsia="Arial" w:hAnsi="Arial"/>
          <w:sz w:val="17"/>
          <w:szCs w:val="17"/>
          <w:b w:val="1"/>
          <w:bCs w:val="1"/>
          <w:color w:val="auto"/>
        </w:rPr>
        <w:t>Exhibit 23.2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CONSENT OF INDEPENDENT REGISTERED PUBLIC ACCOUNTING FIRM</w:t>
      </w:r>
    </w:p>
    <w:p>
      <w:pPr>
        <w:spacing w:after="0" w:line="217"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We hereby consent to the incorporation by reference in this Registration Statement on Form S-8 of MediaAlpha, Inc. of our report dated October 19, 2020 relating to the financial statements of MediaAlpha, Inc., which appears in MediaAlpha, Inc.’s final prospectus filed pursuant to Rule 424(b) on October 29, 2020, in connection with the Registration Statement on Form S-1 (File No. 333-249326), as amended. We also consent to the reference to us under the heading “Experts” in this Registration Statement.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November 9, 2020</w:t>
      </w:r>
    </w:p>
    <w:p>
      <w:pPr>
        <w:sectPr>
          <w:pgSz w:w="11900" w:h="16838" w:orient="portrait"/>
          <w:cols w:equalWidth="0" w:num="1">
            <w:col w:w="10500"/>
          </w:cols>
          <w:pgMar w:left="700" w:top="121" w:right="699" w:bottom="1440" w:gutter="0" w:footer="0" w:header="0"/>
        </w:sectPr>
      </w:pPr>
    </w:p>
    <w:bookmarkStart w:id="37" w:name="page38"/>
    <w:bookmarkEnd w:id="37"/>
    <w:p>
      <w:pPr>
        <w:jc w:val="right"/>
        <w:spacing w:after="0"/>
        <w:rPr>
          <w:sz w:val="20"/>
          <w:szCs w:val="20"/>
          <w:color w:val="auto"/>
        </w:rPr>
      </w:pPr>
      <w:r>
        <w:rPr>
          <w:rFonts w:ascii="Arial" w:cs="Arial" w:eastAsia="Arial" w:hAnsi="Arial"/>
          <w:sz w:val="17"/>
          <w:szCs w:val="17"/>
          <w:b w:val="1"/>
          <w:bCs w:val="1"/>
          <w:color w:val="auto"/>
        </w:rPr>
        <w:t>Exhibit 23.3</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CONSENT OF INDEPENDENT REGISTERED PUBLIC ACCOUNTING FIRM</w:t>
      </w:r>
    </w:p>
    <w:p>
      <w:pPr>
        <w:spacing w:after="0" w:line="217"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We hereby consent to the incorporation by reference in this Registration Statement on Form S-8 of MediaAlpha, Inc. of our report dated October 21, 2020 relating to the financial statements of Guilford Holdings, Inc., which appears in MediaAlpha, Inc.’s final prospectus filed pursuant to Rule 424(b) on October 29, 2020, in connection with the Registration Statement on Form S-1 (File No. 333-249326), as amended. We also consent to the reference to us under the heading “Experts” in this Registration Statement.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November 9, 2020</w:t>
      </w:r>
    </w:p>
    <w:sectPr>
      <w:pgSz w:w="11900" w:h="16838" w:orient="portrait"/>
      <w:cols w:equalWidth="0" w:num="1">
        <w:col w:w="10500"/>
      </w:cols>
      <w:pgMar w:left="700" w:top="121"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lvl w:ilvl="1">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213"/>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lowerLetter"/>
      <w:start w:val="1"/>
    </w:lvl>
  </w:abstractNum>
  <w:abstractNum w:abstractNumId="13">
    <w:nsid w:val="7C83E458"/>
    <w:multiLevelType w:val="hybridMultilevel"/>
    <w:lvl w:ilvl="0">
      <w:lvlJc w:val="left"/>
      <w:lvlText w:val="(%1)"/>
      <w:numFmt w:val="lowerLetter"/>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6">
    <w:nsid w:val="436C6125"/>
    <w:multiLevelType w:val="hybridMultilevel"/>
    <w:lvl w:ilvl="0">
      <w:lvlJc w:val="left"/>
      <w:lvlText w:val="(%1)"/>
      <w:numFmt w:val="lowerRoman"/>
      <w:start w:val="2"/>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lowerRoman"/>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lowerLetter"/>
      <w:start w:val="3"/>
    </w:lvl>
  </w:abstractNum>
  <w:abstractNum w:abstractNumId="21">
    <w:nsid w:val="2D1D5AE9"/>
    <w:multiLevelType w:val="hybridMultilevel"/>
    <w:lvl w:ilvl="0">
      <w:lvlJc w:val="left"/>
      <w:lvlText w:val="(%1)"/>
      <w:numFmt w:val="lowerLetter"/>
      <w:start w:val="1"/>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jpeg"/><Relationship Id="rId63" Type="http://schemas.openxmlformats.org/officeDocument/2006/relationships/image" Target="media/image47.png"/><Relationship Id="rId40" Type="http://schemas.openxmlformats.org/officeDocument/2006/relationships/hyperlink" Target="http://www.sec.gov/Archives/edgar/data/1818383/000119312520280644/d48669d424b4.htm" TargetMode="External"/><Relationship Id="rId41" Type="http://schemas.openxmlformats.org/officeDocument/2006/relationships/hyperlink" Target="http://www.sec.gov/Archives/edgar/data/1818383/000119312520263993/d48669ds1.htm" TargetMode="External"/><Relationship Id="rId42" Type="http://schemas.openxmlformats.org/officeDocument/2006/relationships/hyperlink" Target="http://www.sec.gov/Archives/edgar/data/1818383/000119312520272594/d48669ds1a.htm" TargetMode="External"/><Relationship Id="rId43" Type="http://schemas.openxmlformats.org/officeDocument/2006/relationships/hyperlink" Target="http://www.sec.gov/Archives/edgar/data/1818383/000119312520273260/d48669ds1a.htm" TargetMode="External"/><Relationship Id="rId44" Type="http://schemas.openxmlformats.org/officeDocument/2006/relationships/hyperlink" Target="http://www.sec.gov/Archives/edgar/data/1818383/000119312520275059/d48669ds1a.htm" TargetMode="External"/><Relationship Id="rId49" Type="http://schemas.openxmlformats.org/officeDocument/2006/relationships/hyperlink" Target="http://www.sec.gov/Archives/edgar/data/1818383/000119312520284007/d91630dex31.htm" TargetMode="External"/><Relationship Id="rId50" Type="http://schemas.openxmlformats.org/officeDocument/2006/relationships/hyperlink" Target="http://www.sec.gov/Archives/edgar/data/1818383/000119312520284007/d91630dex32.htm" TargetMode="External"/><Relationship Id="rId51" Type="http://schemas.openxmlformats.org/officeDocument/2006/relationships/hyperlink" Target="http://www.sec.gov/Archives/edgar/data/1818383/000119312520284007/d91630dex106.htm" TargetMode="External"/><Relationship Id="rId52" Type="http://schemas.openxmlformats.org/officeDocument/2006/relationships/hyperlink" Target="http://www.sec.gov/Archives/edgar/data/1818383/000119312520263993/d48669d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2020-11-09T16:33:05Z</dcterms:created>
  <dcterms:modified xsi:type="dcterms:W3CDTF">2020-11-09T16:33:05Z</dcterms:modified>
</cp:coreProperties>
</file>