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6994525" cy="5004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004435"/>
                    </a:xfrm>
                    <a:prstGeom prst="rect">
                      <a:avLst/>
                    </a:prstGeom>
                    <a:noFill/>
                  </pic:spPr>
                </pic:pic>
              </a:graphicData>
            </a:graphic>
          </wp:anchor>
        </w:drawing>
      </w:r>
    </w:p>
    <w:p>
      <w:pPr>
        <w:spacing w:after="0" w:line="1169"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Thompson Patrick Ryan</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3"/>
          </w:tcPr>
          <w:p>
            <w:pPr>
              <w:ind w:left="6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MediaAlpha,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MAX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40" w:type="dxa"/>
            <w:vAlign w:val="bottom"/>
            <w:tcBorders>
              <w:top w:val="single" w:sz="8" w:color="0000EE"/>
            </w:tcBorders>
          </w:tcPr>
          <w:p>
            <w:pPr>
              <w:spacing w:after="0"/>
              <w:rPr>
                <w:sz w:val="4"/>
                <w:szCs w:val="4"/>
                <w:color w:val="auto"/>
              </w:rPr>
            </w:pPr>
          </w:p>
        </w:tc>
        <w:tc>
          <w:tcPr>
            <w:tcW w:w="2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1220" w:type="dxa"/>
            <w:vAlign w:val="bottom"/>
            <w:tcBorders>
              <w:top w:val="single" w:sz="8" w:color="EEEEEE"/>
            </w:tcBorders>
          </w:tcPr>
          <w:p>
            <w:pPr>
              <w:spacing w:after="0"/>
              <w:rPr>
                <w:sz w:val="3"/>
                <w:szCs w:val="3"/>
                <w:color w:val="auto"/>
              </w:rPr>
            </w:pPr>
          </w:p>
        </w:tc>
        <w:tc>
          <w:tcPr>
            <w:tcW w:w="440" w:type="dxa"/>
            <w:vAlign w:val="bottom"/>
            <w:tcBorders>
              <w:top w:val="single" w:sz="8" w:color="EEEEEE"/>
            </w:tcBorders>
          </w:tcPr>
          <w:p>
            <w:pPr>
              <w:spacing w:after="0"/>
              <w:rPr>
                <w:sz w:val="3"/>
                <w:szCs w:val="3"/>
                <w:color w:val="auto"/>
              </w:rPr>
            </w:pPr>
          </w:p>
        </w:tc>
        <w:tc>
          <w:tcPr>
            <w:tcW w:w="122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3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MEDIAALPHA, INC.</w:t>
            </w:r>
          </w:p>
        </w:tc>
        <w:tc>
          <w:tcPr>
            <w:tcW w:w="1220" w:type="dxa"/>
            <w:vAlign w:val="bottom"/>
          </w:tcPr>
          <w:p>
            <w:pPr>
              <w:spacing w:after="0"/>
              <w:rPr>
                <w:sz w:val="18"/>
                <w:szCs w:val="18"/>
                <w:color w:val="auto"/>
              </w:rPr>
            </w:pPr>
          </w:p>
        </w:tc>
        <w:tc>
          <w:tcPr>
            <w:tcW w:w="158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03/15/2026</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700 SOUTH FLOWER STREET, SUITE 640</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9" w:right="660" w:firstLine="9"/>
        <w:spacing w:after="0" w:line="255"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0"/>
          <w:szCs w:val="20"/>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0"/>
          <w:szCs w:val="20"/>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0"/>
          <w:szCs w:val="20"/>
          <w:color w:val="auto"/>
        </w:rPr>
      </w:pPr>
    </w:p>
    <w:p>
      <w:pPr>
        <w:jc w:val="center"/>
        <w:ind w:right="189"/>
        <w:spacing w:after="0"/>
        <w:rPr>
          <w:sz w:val="20"/>
          <w:szCs w:val="20"/>
          <w:color w:val="auto"/>
        </w:rPr>
      </w:pPr>
      <w:r>
        <w:rPr>
          <w:rFonts w:ascii="Times New Roman" w:cs="Times New Roman" w:eastAsia="Times New Roman" w:hAnsi="Times New Roman"/>
          <w:sz w:val="17"/>
          <w:szCs w:val="17"/>
          <w:color w:val="0000FF"/>
        </w:rPr>
        <w:t>See Remarks</w:t>
      </w:r>
    </w:p>
    <w:p>
      <w:pPr>
        <w:spacing w:after="0" w:line="389" w:lineRule="exact"/>
        <w:rPr>
          <w:sz w:val="20"/>
          <w:szCs w:val="20"/>
          <w:color w:val="auto"/>
        </w:rPr>
      </w:pPr>
    </w:p>
    <w:p>
      <w:pPr>
        <w:sectPr>
          <w:pgSz w:w="11900" w:h="16838" w:orient="portrait"/>
          <w:cols w:equalWidth="0" w:num="2">
            <w:col w:w="7660" w:space="69"/>
            <w:col w:w="3351"/>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3700" w:type="dxa"/>
            <w:vAlign w:val="bottom"/>
            <w:gridSpan w:val="9"/>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LOS ANGELES CA</w:t>
            </w:r>
          </w:p>
        </w:tc>
        <w:tc>
          <w:tcPr>
            <w:tcW w:w="880" w:type="dxa"/>
            <w:vAlign w:val="bottom"/>
          </w:tcPr>
          <w:p>
            <w:pPr>
              <w:spacing w:after="0"/>
              <w:rPr>
                <w:sz w:val="10"/>
                <w:szCs w:val="10"/>
                <w:color w:val="auto"/>
              </w:rPr>
            </w:pPr>
          </w:p>
        </w:tc>
        <w:tc>
          <w:tcPr>
            <w:tcW w:w="1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90017</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540"/>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6"/>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6"/>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82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5"/>
          </w:tcPr>
          <w:p>
            <w:pPr>
              <w:ind w:left="100"/>
              <w:spacing w:after="0" w:line="127"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3"/>
          </w:tcPr>
          <w:p>
            <w:pPr>
              <w:ind w:left="820"/>
              <w:spacing w:after="0" w:line="128"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60" w:type="dxa"/>
            <w:vAlign w:val="bottom"/>
            <w:tcBorders>
              <w:bottom w:val="single" w:sz="8" w:color="2C2C2C"/>
            </w:tcBorders>
            <w:gridSpan w:val="4"/>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03/15/2026</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2"/>
              </w:rPr>
              <w:t>254,200</w:t>
            </w:r>
            <w:r>
              <w:rPr>
                <w:rFonts w:ascii="Times New Roman" w:cs="Times New Roman" w:eastAsia="Times New Roman" w:hAnsi="Times New Roman"/>
                <w:sz w:val="21"/>
                <w:szCs w:val="21"/>
                <w:color w:val="008000"/>
                <w:w w:val="92"/>
                <w:vertAlign w:val="superscript"/>
              </w:rPr>
              <w:t>(1)</w:t>
            </w:r>
          </w:p>
        </w:tc>
        <w:tc>
          <w:tcPr>
            <w:tcW w:w="5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1,124,630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5"/>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13"/>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(3)(4)</w:t>
            </w:r>
          </w:p>
        </w:tc>
        <w:tc>
          <w:tcPr>
            <w:tcW w:w="660" w:type="dxa"/>
            <w:vAlign w:val="bottom"/>
            <w:vMerge w:val="restart"/>
          </w:tcPr>
          <w:p>
            <w:pPr>
              <w:ind w:left="200"/>
              <w:spacing w:after="0"/>
              <w:rPr>
                <w:sz w:val="20"/>
                <w:szCs w:val="20"/>
                <w:color w:val="auto"/>
              </w:rPr>
            </w:pPr>
            <w:r>
              <w:rPr>
                <w:rFonts w:ascii="Times New Roman" w:cs="Times New Roman" w:eastAsia="Times New Roman" w:hAnsi="Times New Roman"/>
                <w:sz w:val="11"/>
                <w:szCs w:val="11"/>
                <w:color w:val="008000"/>
              </w:rPr>
              <w:t>(3)(4)</w:t>
            </w:r>
          </w:p>
        </w:tc>
        <w:tc>
          <w:tcPr>
            <w:tcW w:w="6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84,750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 Units</w:t>
            </w:r>
          </w:p>
        </w:tc>
        <w:tc>
          <w:tcPr>
            <w:tcW w:w="800" w:type="dxa"/>
            <w:vAlign w:val="bottom"/>
            <w:vMerge w:val="continue"/>
          </w:tcPr>
          <w:p>
            <w:pPr>
              <w:spacing w:after="0"/>
              <w:rPr>
                <w:sz w:val="12"/>
                <w:szCs w:val="12"/>
                <w:color w:val="auto"/>
              </w:rPr>
            </w:pPr>
          </w:p>
        </w:tc>
        <w:tc>
          <w:tcPr>
            <w:tcW w:w="8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rPr>
              <w:t>03/15/2026</w:t>
            </w: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54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84,750</w:t>
            </w: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gridSpan w:val="2"/>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40"/>
              <w:spacing w:after="0" w:line="141" w:lineRule="exact"/>
              <w:rPr>
                <w:sz w:val="20"/>
                <w:szCs w:val="20"/>
                <w:color w:val="auto"/>
              </w:rPr>
            </w:pPr>
            <w:r>
              <w:rPr>
                <w:rFonts w:ascii="Times New Roman" w:cs="Times New Roman" w:eastAsia="Times New Roman" w:hAnsi="Times New Roman"/>
                <w:sz w:val="13"/>
                <w:szCs w:val="13"/>
                <w:color w:val="0000FF"/>
                <w:w w:val="89"/>
              </w:rPr>
              <w:t>84,750</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00" w:type="dxa"/>
            <w:vAlign w:val="bottom"/>
            <w:gridSpan w:val="3"/>
          </w:tcPr>
          <w:p>
            <w:pPr>
              <w:ind w:left="80"/>
              <w:spacing w:after="0" w:line="141" w:lineRule="exact"/>
              <w:rPr>
                <w:sz w:val="20"/>
                <w:szCs w:val="20"/>
                <w:color w:val="auto"/>
              </w:rPr>
            </w:pPr>
            <w:r>
              <w:rPr>
                <w:rFonts w:ascii="Times New Roman" w:cs="Times New Roman" w:eastAsia="Times New Roman" w:hAnsi="Times New Roman"/>
                <w:sz w:val="13"/>
                <w:szCs w:val="13"/>
                <w:color w:val="0000FF"/>
              </w:rPr>
              <w:t>(2026</w:t>
            </w: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center"/>
              <w:ind w:right="134"/>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PRSUs)</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-2172970</wp:posOffset>
            </wp:positionV>
            <wp:extent cx="29210" cy="2178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7805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20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 ("RSUs") granted to the Reporting Person under the Issuer's Omnibus Incentive Plan. Each RSU represents a contingent right to receive one share of Class A Common Stock upon vesting. One sixteenth of the RSUs will vest on May 15, 2026 and the remainder will vest quarterly over the following four years, in each case subject to continued employment. with the Issuer through each vesting date.</w:t>
      </w:r>
    </w:p>
    <w:p>
      <w:pPr>
        <w:spacing w:after="0" w:line="26" w:lineRule="exact"/>
        <w:rPr>
          <w:rFonts w:ascii="Times New Roman" w:cs="Times New Roman" w:eastAsia="Times New Roman" w:hAnsi="Times New Roman"/>
          <w:sz w:val="13"/>
          <w:szCs w:val="13"/>
          <w:color w:val="008000"/>
        </w:rPr>
      </w:pPr>
    </w:p>
    <w:p>
      <w:pPr>
        <w:ind w:left="40" w:right="22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Based Restricted Stock Units (PRSUs) granted to the Reporting Person on March 15, 2026, pursuant to the Issuer's Omnibus Equity Incentive Plan. Each PRSU represents a contingent right to receive shares of Issuer's Class A Common Stock.</w:t>
      </w:r>
    </w:p>
    <w:p>
      <w:pPr>
        <w:spacing w:after="0" w:line="18" w:lineRule="exact"/>
        <w:rPr>
          <w:rFonts w:ascii="Times New Roman" w:cs="Times New Roman" w:eastAsia="Times New Roman" w:hAnsi="Times New Roman"/>
          <w:sz w:val="13"/>
          <w:szCs w:val="13"/>
          <w:color w:val="008000"/>
        </w:rPr>
      </w:pPr>
    </w:p>
    <w:p>
      <w:pPr>
        <w:ind w:left="40" w:right="220" w:firstLine="1"/>
        <w:spacing w:after="0" w:line="236"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PRSUs will be earned subject to achievement of Adjusted EBITDA goals for fiscal 2026, fiscal 2027, and fiscal 2028, with each fiscal year measured separately for purposes of determining PRSU vesting. One-third of the PRSU grants are tied to Adjusted EBITDA performance against pre-established threshold, target, and maximum Adjusted EBITDA goals for each fiscal year, corresponding to vesting of 50%, 100% and 200% of the target shares, respectively. Following the completion of each performance period, any earned PRSUs for that performance period will remain subject to continued service-based vesting through the end of the three-year period."</w:t>
      </w:r>
    </w:p>
    <w:p>
      <w:pPr>
        <w:spacing w:after="0" w:line="26" w:lineRule="exact"/>
        <w:rPr>
          <w:rFonts w:ascii="Times New Roman" w:cs="Times New Roman" w:eastAsia="Times New Roman" w:hAnsi="Times New Roman"/>
          <w:sz w:val="13"/>
          <w:szCs w:val="13"/>
          <w:color w:val="008000"/>
        </w:rPr>
      </w:pPr>
    </w:p>
    <w:p>
      <w:pPr>
        <w:ind w:left="40" w:right="50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If PRSUs become eligible to vest after approval from the Compensation Committee of the Board of Directors of the Issuer on the achievement of the performance measures, the eligible units will settle on March 15, 2029.</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0000FF"/>
                <w:w w:val="95"/>
              </w:rPr>
              <w:t>/s/ Jeffrey B. Coyne</w:t>
            </w:r>
          </w:p>
        </w:tc>
        <w:tc>
          <w:tcPr>
            <w:tcW w:w="700" w:type="dxa"/>
            <w:vAlign w:val="bottom"/>
          </w:tcPr>
          <w:p>
            <w:pPr>
              <w:spacing w:after="0"/>
              <w:rPr>
                <w:sz w:val="17"/>
                <w:szCs w:val="17"/>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2"/>
              </w:rPr>
              <w:t>03/17/2026</w:t>
            </w:r>
          </w:p>
        </w:tc>
      </w:tr>
      <w:tr>
        <w:trPr>
          <w:trHeight w:val="20"/>
        </w:trPr>
        <w:tc>
          <w:tcPr>
            <w:tcW w:w="13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7386" TargetMode="External"/><Relationship Id="rId14" Type="http://schemas.openxmlformats.org/officeDocument/2006/relationships/hyperlink" Target="http://www.sec.gov/cgi-bin/browse-edgar?action=getcompany&amp;CIK=00018183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2026-03-17T20:17:11Z</dcterms:created>
  <dcterms:modified xsi:type="dcterms:W3CDTF">2026-03-17T20:17:11Z</dcterms:modified>
</cp:coreProperties>
</file>