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w:t>
      </w:r>
    </w:p>
    <w:p>
      <w:pPr>
        <w:pStyle w:val="TextBody"/>
        <w:bidi w:val="0"/>
        <w:spacing w:lineRule="auto" w:line="288" w:before="8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 to __________</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Commission File Number: 001-39671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MediaAlpha,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w:t>
      </w:r>
    </w:p>
    <w:tbl>
      <w:tblPr>
        <w:tblW w:w="6014" w:type="dxa"/>
        <w:jc w:val="left"/>
        <w:tblInd w:w="0" w:type="dxa"/>
        <w:tblLayout w:type="fixed"/>
        <w:tblCellMar>
          <w:top w:w="28" w:type="dxa"/>
          <w:left w:w="28" w:type="dxa"/>
          <w:bottom w:w="28" w:type="dxa"/>
          <w:right w:w="28" w:type="dxa"/>
        </w:tblCellMar>
      </w:tblPr>
      <w:tblGrid>
        <w:gridCol w:w="1298"/>
        <w:gridCol w:w="1140"/>
        <w:gridCol w:w="1147"/>
        <w:gridCol w:w="709"/>
        <w:gridCol w:w="709"/>
        <w:gridCol w:w="1011"/>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85-1854133</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Number)</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700 South Flower Street, Suite 640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California 90017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(213) 316-6256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407" w:type="dxa"/>
        <w:jc w:val="left"/>
        <w:tblInd w:w="0" w:type="dxa"/>
        <w:tblLayout w:type="fixed"/>
        <w:tblCellMar>
          <w:top w:w="28" w:type="dxa"/>
          <w:left w:w="28" w:type="dxa"/>
          <w:bottom w:w="28" w:type="dxa"/>
          <w:right w:w="28" w:type="dxa"/>
        </w:tblCellMar>
      </w:tblPr>
      <w:tblGrid>
        <w:gridCol w:w="1307"/>
        <w:gridCol w:w="1146"/>
        <w:gridCol w:w="1162"/>
        <w:gridCol w:w="109"/>
        <w:gridCol w:w="109"/>
        <w:gridCol w:w="109"/>
        <w:gridCol w:w="274"/>
        <w:gridCol w:w="274"/>
        <w:gridCol w:w="276"/>
        <w:gridCol w:w="109"/>
        <w:gridCol w:w="109"/>
        <w:gridCol w:w="109"/>
        <w:gridCol w:w="970"/>
        <w:gridCol w:w="970"/>
        <w:gridCol w:w="1374"/>
      </w:tblGrid>
      <w:tr>
        <w:trPr/>
        <w:tc>
          <w:tcPr>
            <w:tcW w:w="13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NYSE</w:t>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 xml:space="preserve">No </w:t>
      </w:r>
      <w:r>
        <w:rPr>
          <w:color w:val="000000"/>
        </w:rPr>
        <w:t>☐</w:t>
      </w:r>
    </w:p>
    <w:p>
      <w:pPr>
        <w:pStyle w:val="TextBody"/>
        <w:bidi w:val="0"/>
        <w:spacing w:lineRule="auto" w:line="288" w:before="100" w:after="283"/>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r>
        <w:rPr>
          <w:color w:val="000000"/>
        </w:rPr>
        <w:t>☐</w:t>
      </w:r>
    </w:p>
    <w:p>
      <w:pPr>
        <w:pStyle w:val="TextBody"/>
        <w:bidi w:val="0"/>
        <w:spacing w:lineRule="auto" w:line="288" w:before="1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8"/>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6"/>
        </w:rPr>
        <w:t xml:space="preserve">No </w:t>
      </w:r>
      <w:r>
        <w:rPr>
          <w:color w:val="000000"/>
        </w:rPr>
        <w:t>☒</w:t>
      </w:r>
    </w:p>
    <w:p>
      <w:pPr>
        <w:pStyle w:val="TextBody"/>
        <w:bidi w:val="0"/>
        <w:spacing w:lineRule="auto" w:line="288" w:before="1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April 24, 2026, there were 54,062,155 shares of MediaAlpha, Inc.'s Class A common stock, $0.01 par value per share, and 8,288,267 shares of MediaAlpha, Inc.’s Class B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682" w:type="dxa"/>
        <w:jc w:val="left"/>
        <w:tblInd w:w="0" w:type="dxa"/>
        <w:tblLayout w:type="fixed"/>
        <w:tblCellMar>
          <w:top w:w="28" w:type="dxa"/>
          <w:left w:w="28" w:type="dxa"/>
          <w:bottom w:w="28" w:type="dxa"/>
          <w:right w:w="28" w:type="dxa"/>
        </w:tblCellMar>
      </w:tblPr>
      <w:tblGrid>
        <w:gridCol w:w="353"/>
        <w:gridCol w:w="310"/>
        <w:gridCol w:w="313"/>
        <w:gridCol w:w="2443"/>
        <w:gridCol w:w="2443"/>
        <w:gridCol w:w="2448"/>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6">
              <w:r>
                <w:rPr>
                  <w:rStyle w:val="InternetLink"/>
                  <w:rFonts w:ascii="Times New Roman;serif" w:hAnsi="Times New Roman;serif"/>
                  <w:b w:val="false"/>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9">
              <w:r>
                <w:rPr>
                  <w:rStyle w:val="InternetLink"/>
                  <w:rFonts w:ascii="Times New Roman;serif" w:hAnsi="Times New Roman;serif"/>
                  <w:b w:val="false"/>
                  <w:color w:val="0000FF"/>
                  <w:sz w:val="20"/>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9">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22">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22">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25">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25">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28">
              <w:r>
                <w:rPr>
                  <w:rStyle w:val="InternetLink"/>
                  <w:rFonts w:ascii="Times New Roman;serif" w:hAnsi="Times New Roman;serif"/>
                  <w:b w:val="false"/>
                  <w:color w:val="0000FF"/>
                  <w:sz w:val="20"/>
                  <w:u w:val="single"/>
                </w:rPr>
                <w:t>Consolidated Statements of Stockholders’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28">
              <w:r>
                <w:rPr>
                  <w:rStyle w:val="InternetLink"/>
                  <w:rFonts w:ascii="Times New Roman;serif" w:hAnsi="Times New Roman;serif"/>
                  <w:b w:val="false"/>
                  <w:strike w:val="false"/>
                  <w:dstrike w:val="false"/>
                  <w:color w:val="000000"/>
                  <w:sz w:val="20"/>
                  <w:u w:val="none"/>
                  <w:effect w:val="non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31">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31">
              <w:r>
                <w:rPr>
                  <w:rStyle w:val="InternetLink"/>
                  <w:rFonts w:ascii="Times New Roman;serif" w:hAnsi="Times New Roman;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34">
              <w:r>
                <w:rPr>
                  <w:rStyle w:val="InternetLink"/>
                  <w:rFonts w:ascii="Times New Roman;serif" w:hAnsi="Times New Roman;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34">
              <w:r>
                <w:rPr>
                  <w:rStyle w:val="InternetLink"/>
                  <w:rFonts w:ascii="Times New Roman;serif" w:hAnsi="Times New Roman;serif"/>
                  <w:b w:val="false"/>
                  <w:strike w:val="false"/>
                  <w:dstrike w:val="false"/>
                  <w:color w:val="000000"/>
                  <w:sz w:val="20"/>
                  <w:u w:val="none"/>
                  <w:effect w:val="non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73">
              <w:r>
                <w:rPr>
                  <w:rStyle w:val="InternetLink"/>
                  <w:rFonts w:ascii="Times New Roman;serif" w:hAnsi="Times New Roman;serif"/>
                  <w:b w:val="false"/>
                  <w:strike w:val="false"/>
                  <w:dstrike w:val="false"/>
                  <w:color w:val="000000"/>
                  <w:sz w:val="20"/>
                  <w:u w:val="none"/>
                  <w:effect w:val="non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06">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06">
              <w:r>
                <w:rPr>
                  <w:rStyle w:val="InternetLink"/>
                  <w:rFonts w:ascii="Times New Roman;serif" w:hAnsi="Times New Roman;serif"/>
                  <w:b w:val="false"/>
                  <w:strike w:val="false"/>
                  <w:dstrike w:val="false"/>
                  <w:color w:val="000000"/>
                  <w:sz w:val="20"/>
                  <w:u w:val="none"/>
                  <w:effect w:val="none"/>
                </w:rPr>
                <w:t>34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09">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09">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12">
              <w:r>
                <w:rPr>
                  <w:rStyle w:val="InternetLink"/>
                  <w:rFonts w:ascii="Times New Roman;serif" w:hAnsi="Times New Roman;serif"/>
                  <w:b w:val="false"/>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15">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15">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1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18">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21">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21">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24">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24">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27">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27">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30">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30">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36">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36">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bd7c4ad38f477b96054a2885db7683_139">
              <w:r>
                <w:rPr>
                  <w:rStyle w:val="InternetLink"/>
                  <w:rFonts w:ascii="Times New Roman;serif" w:hAnsi="Times New Roman;serif"/>
                  <w:b w:val="false"/>
                  <w:color w:val="0000FF"/>
                  <w:sz w:val="20"/>
                  <w:u w:val="single"/>
                </w:rPr>
                <w:t>Signatures</w:t>
              </w:r>
            </w:hyperlink>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bd7c4ad38f477b96054a2885db7683_139">
              <w:r>
                <w:rPr>
                  <w:rStyle w:val="InternetLink"/>
                  <w:rFonts w:ascii="Times New Roman;serif" w:hAnsi="Times New Roman;serif"/>
                  <w:b w:val="false"/>
                  <w:strike w:val="false"/>
                  <w:dstrike w:val="false"/>
                  <w:color w:val="000000"/>
                  <w:sz w:val="20"/>
                  <w:u w:val="none"/>
                  <w:effect w:val="none"/>
                </w:rPr>
                <w:t>38</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Certain Definitions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Class A-1 units” refers to the Class A-1 units of QL Holdings LLC (“QLH”).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Class B-1 units” refers to the Class B-1 units of QLH.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Company,” “we,” or “us” refers to MediaAlpha, Inc. and its consolidated subsidiaries, unless the context requires otherwise.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Consumer Referral” means any consumer click, call or lead purchased by a buyer on our platform.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Consumers” refer to end consumers. Examples include individuals shopping for insurance policies.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Direct-to-consumer” or “DTC” means the sale of insurance products or services directly to end consumers, without the use of retailers, brokers, agents or other intermediaries.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Distributor” means any company or individual that is involved in the distribution of insurance, such as an insurance agent or broker.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Exchange agreement” means the exchange agreement, dated as of October 27, 2020 by and among MediaAlpha, Inc., QLH, Intermediate Holdco, Inc. and certain Class B-1 unitholders party thereto.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Founders” means, collectively, Steven Yi, Eugene Nonko, and Ambrose Wang.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High-intent” consumer or customer means an in-market consumer that is actively browsing, researching or comparing the types of products or services that our partners sell.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Insignia” means Insignia Capital Group, L.P. and its affiliates.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Intermediate Holdco” means Guilford Holdings, Inc., our wholly owned subsidiary and the owner of all Class A-1 units.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IPO” means our initial public offering of our Class A common stock, which closed on October 30, 2020.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Lifetime value” or “LTV” is a type of metric that many of our business partners use to measure the estimated total worth to a business of a customer over the expected period of their relationship.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Open Marketplace” refers to one of our two business models. In Open Marketplace transactions, we have separate agreements with Demand Partners and Supply Partners. We earn fees from our Demand Partners and separately pay a revenue share to our Supply Partners and a fee to internet search companies to drive consumers to our proprietary websites.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Partner” refers to a buyer or seller on our platform, also referred to as “Demand Partners” and “Supply Partners,” respectively.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Demand partner” or "customer" refers to a buyer on our platform. As discussed under Part I, Item 2. Management’s Discussion &amp; Analysis – Management Overview, our Demand Partners are generally insurance carriers and distributors looking to target high-intent consumers deep in their purchase journey.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Supply partner” or “supplier” refers to a seller to our platform. As discussed under Part I, Item 2. Management’s Discussion &amp; Analysis – Management Overview, our Supply Partners are primarily insurance carriers looking to maximize the value of non-converting or low LTV consumers, and insurance-focused research destinations or other financial websites looking to monetize high-intent consumers.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Private Marketplace” refers to one of our two business models. In Private Marketplace transactions, Demand Partners and Supply Partners contract with one another directly and leverage our platform to facilitate transparent, real-time transactions utilizing the reporting and analytical tools available to them from use of our platform. We charge a fee to our Supply Partners based on the Transaction Value of the Consumer Referrals sold through Private Marketplace transactions.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Proprietary” means, when used in reference to our properties, the websites and other digital properties that we own and operate. Our proprietary properties are a source of Consumer Referrals on our platform.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Reorganization Transactions” means the series of reorganization transactions completed on October 27, 2020 in connection with our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Senior Executives” means the Founders and the other current and former officers of the Company listed in Exhibit A to the Exchange Agreement. This term also includes any estate planning vehicles or other holding companies through which such persons hold their units in QLH.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Transaction Value” means the total gross dollars transacted by our partners on our platform.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Vertical” means a market dedicated to a specific set of products or services sold to end consumers. Examples include property &amp; casualty insurance, health insurance, and life insurance.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White Mountains” means White Mountains Insurance Group, Ltd. and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Cautionary Statement Regarding Forward-Looking Statements and Risk Factor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including this Cautionary Statement to caution investors and qualify for the safe harbor provisions of the Private Securities Litigation Reform Act of 1995 (the “Act”) for forward-looking statements. This Quarterly Report on Form 10-Q contains forward-looking statements.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or will be important factors that could cause our actual results to differ materially from those indicated in these forward-looking statements, including, but not limited to, the following: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attract and retain Supply Partners and Demand Partners to our platform and to make available quality Consumer Referrals at attractive volumes and prices to drive transactions on our platform;</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reliance on a limited number of Supply Partners and Demand Partners, many of which have no long-term contractual commitments with us, and any potential termination of those relationships;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Fluctuations in customer acquisition spending by property and casualty insurance carriers due to unexpected changes in underwriting profitability as the carriers go through cycles in their business;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Existing and future laws and regulations affecting the property &amp; casualty insurance, health insurance and life insurance verticals;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Changes and developments in the regulation of the underlying industries in which our partners operate;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Competition with other technology companies engaged in digital customer acquisition, as well as buyers that attract consumers through their own customer acquisition strategies, third-party online platforms or other methods of distribution;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attract, integrate and retain qualified employees;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Reductions in DTC digital spend by our buyers;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Mergers and acquisitions could result in additional dilution and otherwise disrupt our operations and harm our operating results and financial condition;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dependence on internet search companies to direct a significant portion of visitors to our suppliers’ websites and our proprietary websites;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terms and restrictions of our existing and future indebtedness;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Disruption to operations as a result of future acquisitions;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failure to obtain, maintain, protect and enforce our intellectual property rights, proprietary systems, technology and brand;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develop new offerings and penetrate new vertical markets;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manage future growth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reliance on data provided to us by our Demand and Supply Partners and consumers;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impact of broad-based pandemics or public health crises;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Natural disasters, political crises, economic downturns, or other unexpected events;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Significant estimates and assumptions in the preparation of our consolidated financial statements;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Potential litigation and claims, including claims by regulatory agencies and intellectual property disputes;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collect our receivables from our partners;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Fluctuations in our financial results caused by seasonality;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development of the DTC insurance distribution sector and evolving nature of our relatively new business model;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Disruptions to or failures of our technological infrastructure and platform;</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Failure to manage and maintain relationships with third-party service providers;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Cybersecurity breaches or other attacks involving our systems or those of our partners or third-party service providers;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protect consumer information and other data and risks of reputational harm due to an actual or perceived failure by us to protect such information and other data;</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Risks related to laws and regulation to which we are subject both in the U.S. and internationally, many of which are evolving;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Risks related to changes in tax laws or exposure to additional income or other tax liabilities could affect our future profitability;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Risks related to being a public company;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Risks related to internal control over financial reporting;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Risks related to shares of our Class A common stock;</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Risks related to our corporate structure; 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other risk factors described under Part I, Item 1A "Risk Factors" in our 2025 Annual Report on Form 10-K and under Part II, Item 1A "Risk Factors" in this Quarterly Report on Form 10-Q.</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data and per share amounts)</w:t>
      </w:r>
    </w:p>
    <w:tbl>
      <w:tblPr>
        <w:tblW w:w="10205" w:type="dxa"/>
        <w:jc w:val="left"/>
        <w:tblInd w:w="0" w:type="dxa"/>
        <w:tblLayout w:type="fixed"/>
        <w:tblCellMar>
          <w:top w:w="28" w:type="dxa"/>
          <w:left w:w="28" w:type="dxa"/>
          <w:bottom w:w="28" w:type="dxa"/>
          <w:right w:w="28" w:type="dxa"/>
        </w:tblCellMar>
      </w:tblPr>
      <w:tblGrid>
        <w:gridCol w:w="2876"/>
        <w:gridCol w:w="2344"/>
        <w:gridCol w:w="2289"/>
        <w:gridCol w:w="211"/>
        <w:gridCol w:w="841"/>
        <w:gridCol w:w="109"/>
        <w:gridCol w:w="109"/>
        <w:gridCol w:w="109"/>
        <w:gridCol w:w="109"/>
        <w:gridCol w:w="211"/>
        <w:gridCol w:w="841"/>
        <w:gridCol w:w="156"/>
      </w:tblGrid>
      <w:tr>
        <w:trPr/>
        <w:tc>
          <w:tcPr>
            <w:tcW w:w="287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$762 and $717,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383,831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under tax receivables agreement, net of current portion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- 1.0 billion shares authorized; 54.6 million and 56.2 million shares issued and outstanding as of March 31, 2026 and December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- 100 million shares authorized; 8.3 million and 8.3 million shares issued and outstanding as of March 31, 2026 and December 31,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- 50 million shares authorized; 0 shares issued and outstanding as of March 31, 2026 and December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MediaAlpha,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367,715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383,831</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data and per share amounts)</w:t>
      </w:r>
    </w:p>
    <w:tbl>
      <w:tblPr>
        <w:tblW w:w="10205" w:type="dxa"/>
        <w:jc w:val="left"/>
        <w:tblInd w:w="0" w:type="dxa"/>
        <w:tblLayout w:type="fixed"/>
        <w:tblCellMar>
          <w:top w:w="28" w:type="dxa"/>
          <w:left w:w="28" w:type="dxa"/>
          <w:bottom w:w="28" w:type="dxa"/>
          <w:right w:w="28" w:type="dxa"/>
        </w:tblCellMar>
      </w:tblPr>
      <w:tblGrid>
        <w:gridCol w:w="2530"/>
        <w:gridCol w:w="2232"/>
        <w:gridCol w:w="2253"/>
        <w:gridCol w:w="219"/>
        <w:gridCol w:w="862"/>
        <w:gridCol w:w="109"/>
        <w:gridCol w:w="109"/>
        <w:gridCol w:w="109"/>
        <w:gridCol w:w="109"/>
        <w:gridCol w:w="219"/>
        <w:gridCol w:w="862"/>
        <w:gridCol w:w="109"/>
        <w:gridCol w:w="109"/>
        <w:gridCol w:w="109"/>
        <w:gridCol w:w="109"/>
        <w:gridCol w:w="156"/>
      </w:tblGrid>
      <w:tr>
        <w:trPr/>
        <w:tc>
          <w:tcPr>
            <w:tcW w:w="2530"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 per share of Class A common stock</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data)</w:t>
      </w:r>
    </w:p>
    <w:tbl>
      <w:tblPr>
        <w:tblW w:w="11220" w:type="dxa"/>
        <w:jc w:val="left"/>
        <w:tblInd w:w="0" w:type="dxa"/>
        <w:tblLayout w:type="fixed"/>
        <w:tblCellMar>
          <w:top w:w="28" w:type="dxa"/>
          <w:left w:w="28" w:type="dxa"/>
          <w:bottom w:w="28" w:type="dxa"/>
          <w:right w:w="28" w:type="dxa"/>
        </w:tblCellMar>
      </w:tblPr>
      <w:tblGrid>
        <w:gridCol w:w="651"/>
        <w:gridCol w:w="282"/>
        <w:gridCol w:w="283"/>
        <w:gridCol w:w="480"/>
        <w:gridCol w:w="481"/>
        <w:gridCol w:w="161"/>
        <w:gridCol w:w="109"/>
        <w:gridCol w:w="109"/>
        <w:gridCol w:w="109"/>
        <w:gridCol w:w="196"/>
        <w:gridCol w:w="421"/>
        <w:gridCol w:w="109"/>
        <w:gridCol w:w="109"/>
        <w:gridCol w:w="109"/>
        <w:gridCol w:w="109"/>
        <w:gridCol w:w="435"/>
        <w:gridCol w:w="436"/>
        <w:gridCol w:w="161"/>
        <w:gridCol w:w="109"/>
        <w:gridCol w:w="109"/>
        <w:gridCol w:w="109"/>
        <w:gridCol w:w="212"/>
        <w:gridCol w:w="359"/>
        <w:gridCol w:w="120"/>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209"/>
        <w:gridCol w:w="706"/>
        <w:gridCol w:w="166"/>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56,207,408 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8,288,267 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on tax withholding on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QLH’s members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(2,056,010)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54,583,461 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8,288,267 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600" w:type="dxa"/>
        <w:jc w:val="left"/>
        <w:tblInd w:w="0" w:type="dxa"/>
        <w:tblLayout w:type="fixed"/>
        <w:tblCellMar>
          <w:top w:w="28" w:type="dxa"/>
          <w:left w:w="28" w:type="dxa"/>
          <w:bottom w:w="28" w:type="dxa"/>
          <w:right w:w="28" w:type="dxa"/>
        </w:tblCellMar>
      </w:tblPr>
      <w:tblGrid>
        <w:gridCol w:w="906"/>
        <w:gridCol w:w="282"/>
        <w:gridCol w:w="283"/>
        <w:gridCol w:w="480"/>
        <w:gridCol w:w="481"/>
        <w:gridCol w:w="161"/>
        <w:gridCol w:w="109"/>
        <w:gridCol w:w="109"/>
        <w:gridCol w:w="109"/>
        <w:gridCol w:w="196"/>
        <w:gridCol w:w="421"/>
        <w:gridCol w:w="109"/>
        <w:gridCol w:w="109"/>
        <w:gridCol w:w="109"/>
        <w:gridCol w:w="109"/>
        <w:gridCol w:w="480"/>
        <w:gridCol w:w="481"/>
        <w:gridCol w:w="161"/>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209"/>
        <w:gridCol w:w="706"/>
        <w:gridCol w:w="166"/>
      </w:tblGrid>
      <w:tr>
        <w:trPr/>
        <w:tc>
          <w:tcPr>
            <w:tcW w:w="9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55,456,104 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11,574,029 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on tax withholding on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performance-based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55,895,646 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11,574,029 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9264" w:type="dxa"/>
        <w:jc w:val="left"/>
        <w:tblInd w:w="0" w:type="dxa"/>
        <w:tblLayout w:type="fixed"/>
        <w:tblCellMar>
          <w:top w:w="28" w:type="dxa"/>
          <w:left w:w="28" w:type="dxa"/>
          <w:bottom w:w="28" w:type="dxa"/>
          <w:right w:w="28" w:type="dxa"/>
        </w:tblCellMar>
      </w:tblPr>
      <w:tblGrid>
        <w:gridCol w:w="2504"/>
        <w:gridCol w:w="2197"/>
        <w:gridCol w:w="2214"/>
        <w:gridCol w:w="196"/>
        <w:gridCol w:w="721"/>
        <w:gridCol w:w="109"/>
        <w:gridCol w:w="109"/>
        <w:gridCol w:w="109"/>
        <w:gridCol w:w="109"/>
        <w:gridCol w:w="196"/>
        <w:gridCol w:w="646"/>
        <w:gridCol w:w="154"/>
      </w:tblGrid>
      <w:tr>
        <w:trPr/>
        <w:tc>
          <w:tcPr>
            <w:tcW w:w="250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on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receivables agreement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line of credit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revolving line of credit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long-term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Class A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QLH’s members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pursuant to tax receivables agreement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on vesting of restricted stock units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of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performance-based restricted stock units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excise tax on repurchases of Class A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included in the 2025 Annual Report on Form 10-K and did not materially change during the three months ended March 31, 2026.</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and related disclosures have been prepared in accordance with accounting principles generally accepted in the United States of America ("GAAP") applicable to interim financial information and with the instructions to Form 10-Q and Rule 10-01 of Regulation S-X. In the opinion of management, all adjustments, consisting of only those of a normal recurring nature, considered necessary for a fair statement of the financial position and interim results of the Company as of and for the periods presented have been included.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December 31, 2025 balance sheet data was derived from audited consolidated financial statements; however, the accompanying interim notes to the consolidated financial statements do not include all of the annual disclosures required by GAAP. Results for interim periods are not necessarily indicative of those that may be expected for a full year. The financial information included herein should be read in conjunction with the Company's consolidated financial statements and related notes in its 2025 Annual Report on Form 10-K.</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net of allowances for credit losses of $0.8 million and $0.7 million as of March 31, 2026 and December 31,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Concentrations of credit risk and of significant Demand Partners and Supply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primarily of cash and cash equivalents and accounts receivable. The Company maintains cash balances that can, at times, exceed amounts insured by the Federal Deposit Insurance Corporation. The Company has not experienced any losses in these accounts and believes it is not exposed to unusual risk beyond the normal credit risk in this area based on the financial strength of the institutions with which the Company maintains its deposits.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accounts receivable, which are unsecured, may expose it to credit risk based on their collectability. The Company controls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 and recording allowances for credit losses. The Company's supplier concentration can also expose it to business risks.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and supplier concentrations consisted of the below:</w:t>
      </w:r>
    </w:p>
    <w:tbl>
      <w:tblPr>
        <w:tblW w:w="10205" w:type="dxa"/>
        <w:jc w:val="left"/>
        <w:tblInd w:w="0" w:type="dxa"/>
        <w:tblLayout w:type="fixed"/>
        <w:tblCellMar>
          <w:top w:w="28" w:type="dxa"/>
          <w:left w:w="28" w:type="dxa"/>
          <w:bottom w:w="28" w:type="dxa"/>
          <w:right w:w="28" w:type="dxa"/>
        </w:tblCellMar>
      </w:tblPr>
      <w:tblGrid>
        <w:gridCol w:w="331"/>
        <w:gridCol w:w="291"/>
        <w:gridCol w:w="294"/>
        <w:gridCol w:w="838"/>
        <w:gridCol w:w="838"/>
        <w:gridCol w:w="841"/>
        <w:gridCol w:w="306"/>
        <w:gridCol w:w="679"/>
        <w:gridCol w:w="160"/>
        <w:gridCol w:w="199"/>
        <w:gridCol w:w="183"/>
        <w:gridCol w:w="409"/>
        <w:gridCol w:w="109"/>
        <w:gridCol w:w="109"/>
        <w:gridCol w:w="109"/>
        <w:gridCol w:w="838"/>
        <w:gridCol w:w="838"/>
        <w:gridCol w:w="841"/>
        <w:gridCol w:w="306"/>
        <w:gridCol w:w="679"/>
        <w:gridCol w:w="160"/>
        <w:gridCol w:w="192"/>
        <w:gridCol w:w="182"/>
        <w:gridCol w:w="473"/>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02"/>
        <w:gridCol w:w="441"/>
        <w:gridCol w:w="443"/>
        <w:gridCol w:w="776"/>
        <w:gridCol w:w="776"/>
        <w:gridCol w:w="779"/>
        <w:gridCol w:w="344"/>
        <w:gridCol w:w="591"/>
        <w:gridCol w:w="180"/>
        <w:gridCol w:w="200"/>
        <w:gridCol w:w="181"/>
        <w:gridCol w:w="391"/>
        <w:gridCol w:w="109"/>
        <w:gridCol w:w="109"/>
        <w:gridCol w:w="109"/>
        <w:gridCol w:w="776"/>
        <w:gridCol w:w="776"/>
        <w:gridCol w:w="779"/>
        <w:gridCol w:w="344"/>
        <w:gridCol w:w="591"/>
        <w:gridCol w:w="180"/>
        <w:gridCol w:w="192"/>
        <w:gridCol w:w="181"/>
        <w:gridCol w:w="455"/>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Related Party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party to the tax receivables agreement ("TRA"), under which it is contractually obligated to pay certain holders of Class B-1 units 85% of the amount of any tax benefits that the Company actually realizes, or in some cases are deemed to realize as a result of certain transactions. As of March 31, 2026 and December 31, 2025, the Company had accrued $123.4 million and $131.1 million, respectively, for estimated payments under the TRA. During the three months ended March 31, 2026, payments of $7.0 million were made pursuant to the TRA. During the three months ended March 31, 2025, no payments were made pursuant to the TRA.</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recently adopted accounting pronouncements by the Company.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not yet adopted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Financial Accounting Standards Board ("FASB") issued Accounting Standards Update ("ASU") 2025-11, Interim Reporting (Topic 270): Narrow-Scope Improvements. This ASU provides clarifications intended to improve the consistency and usability of interim disclosure requirements, including a comprehensive listing of required interim disclosures. The standard introduces a new disclosure principle for interim reporting to help entities determine whether disclosures not specified in Topic 270 should be provided in interim periods. ASU 2025-11 is effective for fiscal years beginning after December 15, 2027, and interim periods within those annual reporting periods. Early adoption is permitted. The Company is currently evaluating the impact of adopting ASU 2025-11 on its consolidated financial statements and related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No. 2025-06 is effective for annual reporting periods beginning after December 15, 2027, and for interim reporting periods within those annual reporting periods, with early adoption permitted. The Company is currently evaluating the impact of the ASU on its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disclosure, in the notes to the consolidated financial statements, of prescribed categories of expenses within relevant income statement captions. In March 2025, the FASB issued ASU No. 2025-01, “Income Statement-Reporting Comprehensive Income-Expense Disaggregation Disclosures (Subtopic 220-40): Clarifying the Effective Date.” ASU No. 2025-01 clarifies that all public business entities are required to adopt the guidance in annual reporting periods beginning after December 15, 2026, and interim periods within annual reporting periods beginning after December 15, 2027. Early adoption is permitted. The new standard may be applied either on a prospective or retrospective basis. The Company is currently evaluating the impact of the ASU on its disclosures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Disaggregation of revenue</w:t>
      </w:r>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Company’s revenue disaggregated by transaction model:</w:t>
      </w:r>
    </w:p>
    <w:tbl>
      <w:tblPr>
        <w:tblW w:w="6202" w:type="dxa"/>
        <w:jc w:val="left"/>
        <w:tblInd w:w="0" w:type="dxa"/>
        <w:tblLayout w:type="fixed"/>
        <w:tblCellMar>
          <w:top w:w="28" w:type="dxa"/>
          <w:left w:w="28" w:type="dxa"/>
          <w:bottom w:w="28" w:type="dxa"/>
          <w:right w:w="28" w:type="dxa"/>
        </w:tblCellMar>
      </w:tblPr>
      <w:tblGrid>
        <w:gridCol w:w="1002"/>
        <w:gridCol w:w="883"/>
        <w:gridCol w:w="890"/>
        <w:gridCol w:w="109"/>
        <w:gridCol w:w="109"/>
        <w:gridCol w:w="109"/>
        <w:gridCol w:w="211"/>
        <w:gridCol w:w="826"/>
        <w:gridCol w:w="109"/>
        <w:gridCol w:w="109"/>
        <w:gridCol w:w="109"/>
        <w:gridCol w:w="109"/>
        <w:gridCol w:w="211"/>
        <w:gridCol w:w="826"/>
        <w:gridCol w:w="109"/>
        <w:gridCol w:w="109"/>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Open Marketplace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Marketplace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Company’s revenue disaggregated by product vertical:</w:t>
      </w:r>
    </w:p>
    <w:tbl>
      <w:tblPr>
        <w:tblW w:w="5977" w:type="dxa"/>
        <w:jc w:val="left"/>
        <w:tblInd w:w="0" w:type="dxa"/>
        <w:tblLayout w:type="fixed"/>
        <w:tblCellMar>
          <w:top w:w="28" w:type="dxa"/>
          <w:left w:w="28" w:type="dxa"/>
          <w:bottom w:w="28" w:type="dxa"/>
          <w:right w:w="28" w:type="dxa"/>
        </w:tblCellMar>
      </w:tblPr>
      <w:tblGrid>
        <w:gridCol w:w="922"/>
        <w:gridCol w:w="813"/>
        <w:gridCol w:w="815"/>
        <w:gridCol w:w="109"/>
        <w:gridCol w:w="109"/>
        <w:gridCol w:w="109"/>
        <w:gridCol w:w="211"/>
        <w:gridCol w:w="826"/>
        <w:gridCol w:w="109"/>
        <w:gridCol w:w="109"/>
        <w:gridCol w:w="109"/>
        <w:gridCol w:w="109"/>
        <w:gridCol w:w="211"/>
        <w:gridCol w:w="826"/>
        <w:gridCol w:w="109"/>
        <w:gridCol w:w="109"/>
        <w:gridCol w:w="109"/>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&amp; casualty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Health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Goodwill and 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consisted of:</w:t>
      </w:r>
    </w:p>
    <w:tbl>
      <w:tblPr>
        <w:tblW w:w="10727" w:type="dxa"/>
        <w:jc w:val="left"/>
        <w:tblInd w:w="0" w:type="dxa"/>
        <w:tblLayout w:type="fixed"/>
        <w:tblCellMar>
          <w:top w:w="28" w:type="dxa"/>
          <w:left w:w="28" w:type="dxa"/>
          <w:bottom w:w="28" w:type="dxa"/>
          <w:right w:w="28" w:type="dxa"/>
        </w:tblCellMar>
      </w:tblPr>
      <w:tblGrid>
        <w:gridCol w:w="468"/>
        <w:gridCol w:w="373"/>
        <w:gridCol w:w="375"/>
        <w:gridCol w:w="109"/>
        <w:gridCol w:w="109"/>
        <w:gridCol w:w="109"/>
        <w:gridCol w:w="299"/>
        <w:gridCol w:w="299"/>
        <w:gridCol w:w="303"/>
        <w:gridCol w:w="109"/>
        <w:gridCol w:w="109"/>
        <w:gridCol w:w="109"/>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w:t>
              <w:br/>
              <w:t>life</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84 - 120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trade names, and domain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60 - 120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$0.5 million and $1.4 million for the three months ended March 31, 2026 and 2025, respectively. During the three months ended March 31, 2025, the Company recognized a charge of $13.4 million related to the write-off of customer relationships and trademarks, trade names, and domain names acquired as part of the acquisition of Customer Helper Team, LLC as the Company did not intend to use or expect any future economic benefits from these intangible assets. The Company has no accumulated impairment of goodwill.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and intangible assets:</w:t>
      </w:r>
    </w:p>
    <w:tbl>
      <w:tblPr>
        <w:tblW w:w="9072" w:type="dxa"/>
        <w:jc w:val="left"/>
        <w:tblInd w:w="0" w:type="dxa"/>
        <w:tblLayout w:type="fixed"/>
        <w:tblCellMar>
          <w:top w:w="28" w:type="dxa"/>
          <w:left w:w="28" w:type="dxa"/>
          <w:bottom w:w="28" w:type="dxa"/>
          <w:right w:w="28" w:type="dxa"/>
        </w:tblCellMar>
      </w:tblPr>
      <w:tblGrid>
        <w:gridCol w:w="1324"/>
        <w:gridCol w:w="1167"/>
        <w:gridCol w:w="116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future amortization expense relating to identifiable intangible assets with estimable useful lives over the next five years was as follows:</w:t>
      </w:r>
    </w:p>
    <w:tbl>
      <w:tblPr>
        <w:tblW w:w="4166"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370"/>
        <w:gridCol w:w="1083"/>
        <w:gridCol w:w="27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2026–Remaining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Long-term debt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9500" w:type="dxa"/>
        <w:jc w:val="left"/>
        <w:tblInd w:w="0" w:type="dxa"/>
        <w:tblLayout w:type="fixed"/>
        <w:tblCellMar>
          <w:top w:w="28" w:type="dxa"/>
          <w:left w:w="28" w:type="dxa"/>
          <w:bottom w:w="28" w:type="dxa"/>
          <w:right w:w="28" w:type="dxa"/>
        </w:tblCellMar>
      </w:tblPr>
      <w:tblGrid>
        <w:gridCol w:w="2356"/>
        <w:gridCol w:w="2073"/>
        <w:gridCol w:w="2080"/>
        <w:gridCol w:w="109"/>
        <w:gridCol w:w="109"/>
        <w:gridCol w:w="109"/>
        <w:gridCol w:w="211"/>
        <w:gridCol w:w="826"/>
        <w:gridCol w:w="109"/>
        <w:gridCol w:w="109"/>
        <w:gridCol w:w="109"/>
        <w:gridCol w:w="109"/>
        <w:gridCol w:w="211"/>
        <w:gridCol w:w="826"/>
        <w:gridCol w:w="154"/>
      </w:tblGrid>
      <w:tr>
        <w:trPr/>
        <w:tc>
          <w:tcPr>
            <w:tcW w:w="2356"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portion, net of debt issuance costs of $333 and $357,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131,602 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Amendment and Restatement Agreement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25, 2026, QuoteLab, LLC (the "Borrower") and QLH entered into an amendment and restatement agreement (the “Amendment and Restatement Agreement”) amending and restating the Credit Agreement dated as of September 23, 2020, as previously amended (the “Existing Credit Agreement” and, as amended and restated by the Amendment and Restatement Agreement), with the lenders that are party thereto and JPMorgan Chase Bank, N.A., as administrative agent.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Amendment and Restatement Agreement provides for (i) a new five-year senior secured term loan facility in an aggregate principal amount of $150 million (the "2026 Term Loan Facility"), and (ii) a new five-year senior secured revolving credit facility with commitments in an aggregate amount of $60 million (the "2026 Revolving Credit Facility" and, together with the 2026 Term Loan Facility, the "2026 Credit Facilities"), which replaced the existing term loan facility and revolving credit facility under the Existing Credit Agreement. The proceeds of the 2026 Term Loan Facility, together with $15.0 million drawn on the 2026 Revolving Credit Facility upon the closing of the transaction, were used to refinance the $146.6 million of existing term loans outstanding and $5.0 million of existing revolving loans outstanding under the Existing Credit Agreement, and to pay the accrued and unpaid interest on such loans as of the date of the Amendment and Restatement Agreement and the fees related to the refinancing transactions, as well as to provide cash for general corporate purposes.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obligations under the 2026 Credit Facilities are secured by substantially all assets of the Borrower and the Amendment and Restatement Agreement contains customary affirmative, negative and financial covenants and default provisions. The financial covenants include a minimum Fixed Charge Coverage Ratio and a maximum Total Net Leverage Ratio (in each case, as defined in the Amendment and Restatement Agreement). Non-financial covenants include restrictions on investments, dividends, asset sales, and the incurrence of additional debt and liens. As of March 31, 2026, the Company was in compliance with all of such covenants.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Amendment and Restatement Agreement will bear interest at a rate equal to, at the option of the Borrower, (i) Term Secured Overnight Financing Rate ("SOFR") plus an applicable margin, (ii) Daily Simple SOFR plus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applicable margin or (iii) Alternate Base Rate plus an applicable margin (in each case, as defined in the Amendment and Restatement Agreement). The applicable margins will be based on the Borrower’s consolidated total net leverage ratio as calculated under the terms of the Amendment and Restatement Agreement for the prior fiscal quarter and range from 2.00% to 3.00% with respect to the SOFR-based rates and 1.00% to 2.00% with respect to the Alternate Base Rate.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under the 2026 Credit Facilities will mature on March 25, 2031. Loans under the 2026 Term Loan Facility will amortize quarterly, beginning with the fiscal quarter ending June 30, 2026, by an amount equal to (i) through the fiscal quarter ending March 31, 2030, 1.25% of the original aggregate principal amount of the term loans and (ii) for each fiscal quarter thereafter, 2.50% of the original aggregate principal amount of the term loans. Loans under the Amendment and Restatement Agreement may be prepaid, at the option of the Borrower, at any time without premium. Term loans under the Amendment and Restatement Agreement are required to be prepaid from time to time with the proceeds of non-ordinary course asset sales and casualty and condemnation events, subject to customary exceptions.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2026 Term Loan Facility was treated as a debt restructuring that included both debt modifications and extinguishments, in addition to new debt issuances. The Company capitalized $1.5 million of new and existing deferred financing costs, which are classified within the current portion of long-term debt and long-term debt, net of current portion on the consolidated balance sheet and will be amortized over the term of the 2026 Term Loan Facility. Third-party costs of $1.1 million allocated to modifications to the 2026 Term Loan Facility were recorded as general and administrative expenses in the consolidated statement of operations. New and existing third-party costs and fees of $1.0 million paid to lenders and allocated to the 2026 Revolving Credit Facility were capitalized and classified within prepaid expenses and other current assets on the consolidated balance sheet and will be amortized over the term of the 2026 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a loss on extinguishment of the 2021 Credit Facilities of $0.2 million, which has been recorded within other expenses, net on the consolidated statement of operations.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Existing Credit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29, 2021, QuoteLab, LLC (“Borrower”) and QLH entered into an amendment (the "First Amendment") to the 2020 Credit Agreement dated as of September 23, 2020, with the lenders that are party thereto and JPMorgan Chase Bank, N.A., as administrative agent (as amended by the First Amendment, the “Credit Agreement”). On June 8, 2023, the Borrower and QLH entered into a Second Amendment (the “Second Amendment”) to the Credit Agreement (as amended by the Second Amendment, the “Existing Credit Agreement”).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On August 4, 2025 ("Effective Date"), the Borrower and QLH entered into a Third Amendment (the “Third Amendment”) to the Existing Credit Agreement (as amended by the Third Amendment, the “Amended Credit Agreement”), pursuant to which lenders representing</w:t>
      </w:r>
      <w:r>
        <w:rPr>
          <w:color w:val="000000"/>
          <w:shd w:fill="FFFFFF" w:val="clear"/>
        </w:rPr>
        <w:t xml:space="preserve"> </w:t>
      </w:r>
      <w:r>
        <w:rPr>
          <w:rFonts w:ascii="Times New Roman;serif" w:hAnsi="Times New Roman;serif"/>
          <w:b w:val="false"/>
          <w:color w:val="000000"/>
          <w:sz w:val="20"/>
        </w:rPr>
        <w:t>$138.1 million</w:t>
      </w:r>
      <w:r>
        <w:rPr>
          <w:color w:val="000000"/>
          <w:shd w:fill="FFFFFF" w:val="clear"/>
        </w:rPr>
        <w:t xml:space="preserve"> </w:t>
      </w:r>
      <w:r>
        <w:rPr>
          <w:rFonts w:ascii="Times New Roman;serif" w:hAnsi="Times New Roman;serif"/>
          <w:b w:val="false"/>
          <w:color w:val="000000"/>
          <w:sz w:val="20"/>
          <w:shd w:fill="FFFFFF" w:val="clear"/>
        </w:rPr>
        <w:t xml:space="preserve">in aggregate principal amount of term loans outstanding under the 2021 Term Loan Facility as of the Effective Date </w:t>
      </w:r>
      <w:r>
        <w:rPr>
          <w:rFonts w:ascii="Times New Roman;serif" w:hAnsi="Times New Roman;serif"/>
          <w:b w:val="false"/>
          <w:color w:val="000000"/>
          <w:sz w:val="20"/>
        </w:rPr>
        <w:t xml:space="preserve">agreed to extend the maturity date by one year, </w:t>
      </w:r>
      <w:r>
        <w:rPr>
          <w:rFonts w:ascii="Times New Roman;serif" w:hAnsi="Times New Roman;serif"/>
          <w:b w:val="false"/>
          <w:color w:val="000000"/>
          <w:sz w:val="20"/>
          <w:shd w:fill="FFFFFF" w:val="clear"/>
        </w:rPr>
        <w:t xml:space="preserve">to July 29, 2027 ("Extended Term Loans"). The remaining $13.3 million in aggregate principal amount of term loans outstanding under the 2021 Term Loan Facility, as of the Effective Date (the “Non-Extended Term Loans” and, together with the Extended Term Loans, the “Term Loans”) will mature on July 29, 2026. The Term Loans amortize quarterly, beginning with December 31, 2021 and ending with (a) June 30, 2026, in the case of the Non-Extended Term Loans, and (b) June 30, 2027, in the case of the Extended Term Loans, by an amount equal to </w:t>
      </w:r>
      <w:r>
        <w:rPr>
          <w:rFonts w:ascii="Times New Roman;serif" w:hAnsi="Times New Roman;serif"/>
          <w:b w:val="false"/>
          <w:color w:val="000000"/>
          <w:sz w:val="20"/>
        </w:rPr>
        <w:t>1.25%</w:t>
      </w:r>
      <w:r>
        <w:rPr>
          <w:color w:val="000000"/>
          <w:shd w:fill="FFFFFF" w:val="clear"/>
        </w:rPr>
        <w:t xml:space="preserve"> </w:t>
      </w:r>
      <w:r>
        <w:rPr>
          <w:rFonts w:ascii="Times New Roman;serif" w:hAnsi="Times New Roman;serif"/>
          <w:b w:val="false"/>
          <w:color w:val="000000"/>
          <w:sz w:val="20"/>
          <w:shd w:fill="FFFFFF" w:val="clear"/>
        </w:rPr>
        <w:t>of the aggregate principal amount of the Term Loans initially made on July 29, 2021. Also, as of the Effective Date, the lenders representing $45.6 million in aggregate amount of revolving commitments and related loans under the 2021 Revolving Credit Facility ($4.6 million in aggregate principal amount of which are drawn as of the Effective Date) a</w:t>
      </w:r>
      <w:r>
        <w:rPr>
          <w:rFonts w:ascii="Times New Roman;serif" w:hAnsi="Times New Roman;serif"/>
          <w:b w:val="false"/>
          <w:color w:val="000000"/>
          <w:sz w:val="20"/>
        </w:rPr>
        <w:t xml:space="preserve">greed to extend the maturity date by one year, </w:t>
      </w:r>
      <w:r>
        <w:rPr>
          <w:rFonts w:ascii="Times New Roman;serif" w:hAnsi="Times New Roman;serif"/>
          <w:b w:val="false"/>
          <w:color w:val="000000"/>
          <w:sz w:val="20"/>
          <w:shd w:fill="FFFFFF" w:val="clear"/>
        </w:rPr>
        <w:t xml:space="preserve">to July 29, 2027. The remaining $4.4 million in aggregate amount of revolving commitments and related loans under the 2021 Revolving Credit Facility ($0.4 million in aggregate principal amount of which are drawn as of the Effective Date) will mature on July 29, 2026. </w:t>
      </w:r>
      <w:r>
        <w:rPr>
          <w:rFonts w:ascii="Times New Roman;serif" w:hAnsi="Times New Roman;serif"/>
          <w:b w:val="false"/>
          <w:color w:val="000000"/>
          <w:sz w:val="20"/>
        </w:rPr>
        <w:t>The Third Amendment was treated as a debt modification and the costs associated with the modification were not material to the consolidated financial information.</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Third Amendment did not impact the covenants or other terms and conditions under the Existing Credit Agreement and did not result in any additional cash proceeds to the Company.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incurred interest expense on the 2021 Term Loan Facility and 2026 Term Loan Facility of $2.2 million and $2.7 million for the three months ended March 31, 2026 and 2025, respectively. Interest expense included amortization of debt issuance costs on the 2021 Credit Facilities and 2026 Credit Facilities of $0.1 million and $0.2 million for the three months ended March 31, 2026 and 2025,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Company’s borrowing capacity available under the 2026 Revolving Credit Facility was $45.0 million. The undrawn portion of the 2026 Revolving Credit Facility carries a commitment fee that ranges from 0.30% to 0.50% based on the Company’s consolidated total net leverage ratio, and such fee was 0.35% as of March 31,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Company incurred interest expense on the 2021 Revolving Credit Facility and 2026 Revolving Credit Facility of $0.1 million for the three months ended March 31, 2026 and 2025, respectively. As of March 31, 2026, the Company’s interest rate on the outstanding borrowings under the 2026 Term Loan Facility and 2026 Revolving Credit Facility was 5.97%.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was $0.2 million as of March 31, 2026 and $2.4 million as of December 31, 2025, and is included within accrued expenses on the consolidated balance sheets.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future principal payments for all borrowings as of March 31, 2026 were as follows:</w:t>
      </w:r>
    </w:p>
    <w:tbl>
      <w:tblPr>
        <w:tblW w:w="4811"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305"/>
        <w:gridCol w:w="1197"/>
        <w:gridCol w:w="223"/>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 maturity</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2026–Remaining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163,503 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Commitments and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and other matters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certain legal proceedings and claims that arise in the normal course of business. In the opinion of management, the Company does not believe that the amount of liability, if any, as a result of these proceedings and claims will have a material adverse effect on the Company’s consolidated financial position, results of operations, or cash flows.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FTC Matter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21, 2023, the Company received a civil investigative demand from the FTC regarding compliance with the FTC Act and the Telemarketing Sales Rule, as they relate to the advertising, marketing, promotion, offering for sale, or sale of healthcare-related products, the collection, sale, transfer or provision to third parties of consumer data, telemarketing practices, and/or consumer privacy or data security. On October 30, 2024, the Company received a letter from the staff of the FTC (the “FTC Staff”) stating that the FTC Staff was prepared to recommend the filing of a complaint against the Company for violations of Section 5(a) of the FTC Act, the Telemarketing Sales Rule ("TSR") and the Government and Business Impersonation Rule (the “Impersonation Rule”).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FTC Staff alleged that, in connection with the Company’s lead generation and telemarketing activities, the Company represented itself as affiliated with government entities, made misleading claims (in particular regarding health insurance products and the Company’s use of consumers’ personal information) and utilized deceptive advertising, in violation of Section 5(a) of the FTC Act. The FTC Staff further alleged that the Company violated the Impersonation Rule in representing itself to be affiliated with government entities and the TSR in connection with its telemarketing activities, and assisted and facilitated violations of the TSR by its Demand Partners in the under-65 health vertical.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3, 2025, the Company reached an agreement with the FTC Staff on the terms of a Consent Order that the Staff was prepared to recommend to the Commissioners of the FTC to fully resolve the FTC’s claims. On August 6, 2025, the complaint and Consent Order were filed with the Court, and on October 16, 2025, the Court entered the Consent Order. Under the terms of the Consent Order, which includes no admission or denial of wrongdoing to the FTC’s allegations, the Company agreed to pay $45.0 million as monetary relief. The Company paid the initial payment of $33.5 million on October 21, 2025, within seven days of entry of the Consent Order by the court, and the remaining $11.5 million on January 12, 2026, within 90 days following entry of the Consent Order. Under the Consent Order, the Company has also agreed to, among other things, implement processes to review its advertising and marketing materials relating to under-65 health plans for compliance; include certain disclosures on its lead generation websites relating to under-65 health plans; implement processes to oversee the compliance of its under-65 health Demand Partners, Supply Partners and affiliates; comply with the TSR and not make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misrepresentations in connection with lead generation or the advertising, marketing, or promotion of any good or service; not collect, transfer or disclose consumer information without express informed consent; transfer certain inactive under-65 health website domains owned by the Company; and comply with certain data deletion, recordkeeping and cooperation provisions.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paid the monetary relief amount in full. As of December 31, 2025, the Company had recorded a reserve of $11.5 million in connection with this matter, which was recorded within accrued expenses on the consolidated balance sheets.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the Company recorded a charge of $5.0 million to increase the loss reserve established in connection with the FTC Matter. Legal fees incurred by the Company in connection with the FTC Matter during the three months ended March 31, 2026 and 2025, were immaterial and $1.9 million, respectively, and are included within general and administrative expenses on the consolidated statement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2024, the Company received an assessment from the City of Los Angeles related to its examination of the Company's Business Tax filings for tax years 2018 through 2023. Such assessment was affirmed by the Appeals Review Officer at an initial hearing in July 2024, and by the Board of Review of the Office of Finance on July 23, 2025. The Company has remitted the assessed amount to avoid interest and penalties, and has initiated litigation challenging the assessment and the City's classification and methodology in applying the Business Tax to the Company. Payment of such amount does not constitute an admission that the Company is subject to such taxes, and if the Company prevails in the litigation the City would be required to repay such amounts or credit them against taxes payable in the future, potentially with interest. As of March 31, 2026, the Company has assessed its probable loss related to this matter and has accrued a reserve, which is not material.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did not have any other material contingency reserves established for litigation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Equity-based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Equity-based compensation cost recognized for equity-based awards outstanding during the three months ended March 31, 2026 and 2025 was as follows:</w:t>
      </w:r>
    </w:p>
    <w:tbl>
      <w:tblPr>
        <w:tblW w:w="6382" w:type="dxa"/>
        <w:jc w:val="left"/>
        <w:tblInd w:w="0" w:type="dxa"/>
        <w:tblLayout w:type="fixed"/>
        <w:tblCellMar>
          <w:top w:w="28" w:type="dxa"/>
          <w:left w:w="28" w:type="dxa"/>
          <w:bottom w:w="28" w:type="dxa"/>
          <w:right w:w="28" w:type="dxa"/>
        </w:tblCellMar>
      </w:tblPr>
      <w:tblGrid>
        <w:gridCol w:w="1221"/>
        <w:gridCol w:w="1075"/>
        <w:gridCol w:w="1079"/>
        <w:gridCol w:w="109"/>
        <w:gridCol w:w="109"/>
        <w:gridCol w:w="109"/>
        <w:gridCol w:w="211"/>
        <w:gridCol w:w="616"/>
        <w:gridCol w:w="109"/>
        <w:gridCol w:w="109"/>
        <w:gridCol w:w="109"/>
        <w:gridCol w:w="109"/>
        <w:gridCol w:w="211"/>
        <w:gridCol w:w="616"/>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Equity-based compensation cost was included in the following expense categories in the consolidated statements of operations during the three months ended March 31, 2026 and 2025:</w:t>
      </w:r>
    </w:p>
    <w:tbl>
      <w:tblPr>
        <w:tblW w:w="5841" w:type="dxa"/>
        <w:jc w:val="left"/>
        <w:tblInd w:w="0" w:type="dxa"/>
        <w:tblLayout w:type="fixed"/>
        <w:tblCellMar>
          <w:top w:w="28" w:type="dxa"/>
          <w:left w:w="28" w:type="dxa"/>
          <w:bottom w:w="28" w:type="dxa"/>
          <w:right w:w="28" w:type="dxa"/>
        </w:tblCellMar>
      </w:tblPr>
      <w:tblGrid>
        <w:gridCol w:w="1024"/>
        <w:gridCol w:w="903"/>
        <w:gridCol w:w="907"/>
        <w:gridCol w:w="109"/>
        <w:gridCol w:w="109"/>
        <w:gridCol w:w="109"/>
        <w:gridCol w:w="211"/>
        <w:gridCol w:w="616"/>
        <w:gridCol w:w="109"/>
        <w:gridCol w:w="109"/>
        <w:gridCol w:w="109"/>
        <w:gridCol w:w="109"/>
        <w:gridCol w:w="211"/>
        <w:gridCol w:w="616"/>
        <w:gridCol w:w="109"/>
        <w:gridCol w:w="109"/>
        <w:gridCol w:w="109"/>
        <w:gridCol w:w="109"/>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As of March 31, 2026, total unrecognized compensation cost related to unvested restricted stock</w:t>
      </w:r>
      <w:r>
        <w:rPr>
          <w:color w:val="000000"/>
          <w:shd w:fill="FFFFFF" w:val="clear"/>
        </w:rPr>
        <w:t xml:space="preserve"> </w:t>
      </w:r>
      <w:r>
        <w:rPr>
          <w:rFonts w:ascii="Times New Roman;serif" w:hAnsi="Times New Roman;serif"/>
          <w:b w:val="false"/>
          <w:color w:val="000000"/>
          <w:sz w:val="20"/>
          <w:shd w:fill="FFFFFF" w:val="clear"/>
        </w:rPr>
        <w:t xml:space="preserve">units and unvested performance-based </w:t>
      </w:r>
      <w:r>
        <w:rPr>
          <w:rFonts w:ascii="Times New Roman;serif" w:hAnsi="Times New Roman;serif"/>
          <w:b w:val="false"/>
          <w:color w:val="000000"/>
          <w:sz w:val="20"/>
        </w:rPr>
        <w:t>restricted stock</w:t>
      </w:r>
      <w:r>
        <w:rPr>
          <w:color w:val="000000"/>
          <w:shd w:fill="FFFFFF" w:val="clear"/>
        </w:rPr>
        <w:t xml:space="preserve"> </w:t>
      </w:r>
      <w:r>
        <w:rPr>
          <w:rFonts w:ascii="Times New Roman;serif" w:hAnsi="Times New Roman;serif"/>
          <w:b w:val="false"/>
          <w:color w:val="000000"/>
          <w:sz w:val="20"/>
          <w:shd w:fill="FFFFFF" w:val="clear"/>
        </w:rPr>
        <w:t xml:space="preserve">units were $72.5 million and </w:t>
      </w:r>
      <w:r>
        <w:rPr>
          <w:rFonts w:ascii="Times New Roman;serif" w:hAnsi="Times New Roman;serif"/>
          <w:b w:val="false"/>
          <w:color w:val="000000"/>
          <w:sz w:val="20"/>
        </w:rPr>
        <w:t>$3.9 million</w:t>
      </w:r>
      <w:r>
        <w:rPr>
          <w:rFonts w:ascii="Times New Roman;serif" w:hAnsi="Times New Roman;serif"/>
          <w:b w:val="false"/>
          <w:color w:val="000000"/>
          <w:sz w:val="20"/>
          <w:shd w:fill="FFFFFF" w:val="clear"/>
        </w:rPr>
        <w:t xml:space="preserve">, respectively, which are expected to be recognized over weighted-average periods of 3.00 years and </w:t>
      </w:r>
      <w:r>
        <w:rPr>
          <w:rFonts w:ascii="Times New Roman;serif" w:hAnsi="Times New Roman;serif"/>
          <w:b w:val="false"/>
          <w:color w:val="000000"/>
          <w:sz w:val="20"/>
        </w:rPr>
        <w:t>2.96</w:t>
      </w:r>
      <w:r>
        <w:rPr>
          <w:color w:val="000000"/>
          <w:shd w:fill="FFFFFF" w:val="clear"/>
        </w:rPr>
        <w:t xml:space="preserve"> </w:t>
      </w:r>
      <w:r>
        <w:rPr>
          <w:rFonts w:ascii="Times New Roman;serif" w:hAnsi="Times New Roman;serif"/>
          <w:b w:val="false"/>
          <w:color w:val="000000"/>
          <w:sz w:val="20"/>
          <w:shd w:fill="FFFFFF" w:val="clear"/>
        </w:rPr>
        <w:t>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15, 2026, the Compensation Committee of the Company's Board of Directors (“Compensation Committee”) approved grants of Performance-Based Restricted Stock Units ("PRSUs") under the 2020 Omnibus Incentive Plan to the Company's executive officers as a portion of such officers' long-term incentive compensation for 2026. Such PRSUs will be earned, if at all, based on achievement of annual Adjusted EBITDA goals set by the Compensation Committee over a three-year performance period, with each fiscal year measured separately for purposes of determining vesting. One-third of the PRSU grants are tied to each fiscal year Adjusted EBITDA performance against pre-established threshold, target, and maximum Adjusted EBITDA goals set by the Compensation Committee for each fiscal year, corresponding to 50%, 100% and 200% of the number of PRSUs granted, respectively, with linear interpolation between such goal levels. Following the completion of each performance period, any earned PRSUs for that performance period will remain subject to continued service-based vesting through the end of the three-year period.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PRSUs granted represented the target value divided by the average closing price of the Company’s Class A common stock for the 10 trading day period ended as of the Friday preceding the grant date. Any difference between the number of PRSUs granted and vested, or unvested and outstanding, due to change in the expected performance outcome of each performance period is accounted for as a performance adjustment.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PRSUs are equity-classified awards, as they are based on a fixed number of PRSUs to be settled at the percentage based on the achievement of the performance measure. At each reporting period, the Company estimates the probability of the achievement of the performance measure and recognizes any expense based on such estimate and the portion of the requisite service period completed. The amount of expense recognized in any period can vary based on changes in the expected achievement of the performance measure. If such performance measures are determined to be unlikely to be achieved, or are ultimately not met, no further expense is recognized and any previously recognized expense is reversed. Upon vesting of the PRSUs, the Company will issue the number of shares of Class A common stock earned based on the Company's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Stockholders' Deficit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28, 2025, the Company's Board of Directors authorized a Share Repurchase Program to repurchase up to $50.0 million of shares of Class A common stock. Subsequently, on February 18, 2026, the Company’s Board of Directors authorized an increase in the Repurchase Program by $50.0 million, to a total of up to $100.0 million ("Repurchase Program"). During the three months ended March 31, 2026, 2,056,010 shares of Class A common stock were repurchased under the Repurchase Program for aggregate consideration of $20.3 million. The difference between the repurchase price and the par value of the shares of Class A common stock repurchased, together with any excise tax payable, was recorded as an adjustment to additional-paid-in capital. The shares repurchased were immediately retired and returned to the status of authorized but unissued shares of Class A common stock.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repurchase such shares through open market transactions, privately negotiated transactions, preset trading plans, block trades or any combination of such methods. The timing and amount of any share repurchases will be determined by the Company’s management in its discretion based on their ongoing evaluation of market and economic conditions, the trading price and volume of the Company’s Class A common stock, the Company’s capital needs and investment opportunities, and other factors. As of March 31, 2026 the Company had repurchased 3,173,374 shares of Class A common stock for aggregate consideration of $34.6 million as part of the Repurchase Program. The Company expects to complete the vast majority of the Repurchase Program by the end of 2026, but it may be suspended or discontinued at any time, and does not obligate the Company to acquire any amount of Class A common stock. The Repurchase Program does not obligate the Company to repurchase a fixed number of shares and any repurchases were accounted for as of the trade date with a corresponding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have any financial instruments measured at fair value on a recurring basis.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measured at fair value on a non-recurring basis consist of Long-Term Debt. As of March 31, 2026, the carrying amounts of the 2026 Term Loan Facility and the 2026 Revolving Credit Facility approximate their respective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MediaAlpha, Inc. is taxed as a corporation and pays corporate federal, state and local taxes on income allocated to it from QLH based upon MediaAlpha, Inc.’s economic interest held in QLH. QLH is treated as a pass-through partnership for income tax reporting purposes and is not subject to federal income tax. Instead, QLH’s taxable income or loss is passed through to its members, including MediaAlpha, Inc. Accordingly, the Company is not liable for income taxes on the portion of QLH’s earnings not allocated to it. MediaAlpha, Inc. files and pays corporate income taxes for U.S. federal and state income tax purposes and its corporate subsidiary, Skytiger Studio, Ltd., is subject to taxation in Taiwan. The Company expects this structure to remain in existence for the foreseeable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annual effective tax rate for the full year to be applied to actual year-to-date income (loss) and adds the tax effects of any discrete items in the reporting period in which they occur. The following table summarizes the Company's income tax expense (benefit):</w:t>
      </w:r>
    </w:p>
    <w:tbl>
      <w:tblPr>
        <w:tblW w:w="6375" w:type="dxa"/>
        <w:jc w:val="left"/>
        <w:tblInd w:w="0" w:type="dxa"/>
        <w:tblLayout w:type="fixed"/>
        <w:tblCellMar>
          <w:top w:w="28" w:type="dxa"/>
          <w:left w:w="28" w:type="dxa"/>
          <w:bottom w:w="28" w:type="dxa"/>
          <w:right w:w="28" w:type="dxa"/>
        </w:tblCellMar>
      </w:tblPr>
      <w:tblGrid>
        <w:gridCol w:w="1036"/>
        <w:gridCol w:w="913"/>
        <w:gridCol w:w="915"/>
        <w:gridCol w:w="109"/>
        <w:gridCol w:w="109"/>
        <w:gridCol w:w="109"/>
        <w:gridCol w:w="211"/>
        <w:gridCol w:w="721"/>
        <w:gridCol w:w="271"/>
        <w:gridCol w:w="109"/>
        <w:gridCol w:w="109"/>
        <w:gridCol w:w="109"/>
        <w:gridCol w:w="211"/>
        <w:gridCol w:w="691"/>
        <w:gridCol w:w="271"/>
        <w:gridCol w:w="109"/>
        <w:gridCol w:w="109"/>
        <w:gridCol w:w="109"/>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of 31.6% for the three months ended March 31, 2026 differed from the U.S. federal statutory tax rate of 21% due primarily to the tax impacts of income not taxable to the Company associated with the non-controlling interest, nondeductible officers' compensation, state taxes, and nondeductible equity-based compensation. The Company's effective tax rate of 2.1% for the three months ended March 31, 2025 differed from the U.S. federal statutory tax rate of 21% due primarily to the tax impacts of changes in valuation allowance.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Company’s unrecognized tax benefits during the three months ended March 31, 2026. The Company is currently under examination by various tax authorities in the United States. These examinations are in preliminary stages and the Company does not expect to have any significant changes to unrecognized tax benefits through the end of the fiscal year.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a valuation allowance of $3.5 million against certain state net operating losses, federal and state capital loss carryforwards, and foreign tax credits that the Company expects will expire unutilized. The Company evaluates the realizability of its deferred tax assets on a quarterly basis and establishes valuation allowances when it is more likely than not that all or a portion of a deferred tax asset may not be realized. As of March 31, 2026, there were no changes to the Company's valuation allowance.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Tax Receivables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Transactions and the IPO, the Company entered into the TRA with Insignia, Senior Executives, and White Mountains. The Company expects to obtain an increase in its share of the tax basis in the net assets of QLH as Class B-1 units, together with shares of Class B common stock, are exchanged for shares of Class A common stock (or, at the Company’s election, redeemed for cash of an equivalent value). The Company intends to treat any redemptions and exchanges of Class B-1 units as direct purchases for U.S. federal income tax purposes. These increases in tax basis may reduce the amounts that it would otherwise pay in the future to various tax authorities.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it can generate sufficient future taxable income and determined that making payments under the TRA is probable under ASC 450 — Contingencies. The Company recorded a liability of $123.4 million and $131.1 million as of March 31, 2026 and December 31, 2025, respectively, of which $6.8 million and $6.9 million, respectively, were classified as current within accrued expenses in the consolidated balance sheets.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holders of Class B-1 units exchanged zero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of $7.0 million were made pursuant to the TRA during the three months ended March 31, 2026. No payments were made pursuant to the TRA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Net Income (Loss)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(loss) per share:</w:t>
      </w:r>
    </w:p>
    <w:tbl>
      <w:tblPr>
        <w:tblW w:w="10205" w:type="dxa"/>
        <w:jc w:val="left"/>
        <w:tblInd w:w="0" w:type="dxa"/>
        <w:tblLayout w:type="fixed"/>
        <w:tblCellMar>
          <w:top w:w="28" w:type="dxa"/>
          <w:left w:w="28" w:type="dxa"/>
          <w:bottom w:w="28" w:type="dxa"/>
          <w:right w:w="28" w:type="dxa"/>
        </w:tblCellMar>
      </w:tblPr>
      <w:tblGrid>
        <w:gridCol w:w="2598"/>
        <w:gridCol w:w="2204"/>
        <w:gridCol w:w="2213"/>
        <w:gridCol w:w="244"/>
        <w:gridCol w:w="837"/>
        <w:gridCol w:w="109"/>
        <w:gridCol w:w="109"/>
        <w:gridCol w:w="109"/>
        <w:gridCol w:w="109"/>
        <w:gridCol w:w="270"/>
        <w:gridCol w:w="811"/>
        <w:gridCol w:w="109"/>
        <w:gridCol w:w="109"/>
        <w:gridCol w:w="109"/>
        <w:gridCol w:w="109"/>
        <w:gridCol w:w="156"/>
      </w:tblGrid>
      <w:tr>
        <w:trPr/>
        <w:tc>
          <w:tcPr>
            <w:tcW w:w="2598"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share data and per share amounts)</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55,846,097 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55,632,321 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 per share of Class A common stock - basic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 per share of Class A common stock - diluted</w:t>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Potentially dilutive shares, which are based on the weighted-average shares of underlying unvested QLH restricted Class B-1 units, restricted Class A shares, restricted stock</w:t>
      </w:r>
      <w:r>
        <w:rPr>
          <w:color w:val="000000"/>
          <w:shd w:fill="FFFFFF" w:val="clear"/>
        </w:rPr>
        <w:t xml:space="preserve"> </w:t>
      </w:r>
      <w:r>
        <w:rPr>
          <w:rFonts w:ascii="Times New Roman;serif" w:hAnsi="Times New Roman;serif"/>
          <w:b w:val="false"/>
          <w:color w:val="000000"/>
          <w:sz w:val="20"/>
          <w:shd w:fill="FFFFFF" w:val="clear"/>
        </w:rPr>
        <w:t>units, and PRSUs</w:t>
      </w:r>
      <w:r>
        <w:rPr>
          <w:color w:val="000000"/>
        </w:rPr>
        <w:t xml:space="preserve"> </w:t>
      </w:r>
      <w:r>
        <w:rPr>
          <w:rFonts w:ascii="Times New Roman;serif" w:hAnsi="Times New Roman;serif"/>
          <w:b w:val="false"/>
          <w:color w:val="000000"/>
          <w:sz w:val="20"/>
        </w:rPr>
        <w:t xml:space="preserve">using the treasury stock method and the outstanding QLH restricted Class B-1 units using the if-converted method, are included when calculating diluted net income (loss) per share attributable to MediaAlpha, Inc. when their effect is dilutive. The effects of the Company’s potentially dilutive securities were not included in the calculation of diluted income (loss) per share as the effect of their inclusion would be anti-dilutive.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shares and units with a potentially dilutive impact for the three months ended March 31, 2026 and 2025:</w:t>
      </w:r>
    </w:p>
    <w:tbl>
      <w:tblPr>
        <w:tblW w:w="5703" w:type="dxa"/>
        <w:jc w:val="left"/>
        <w:tblInd w:w="0" w:type="dxa"/>
        <w:tblLayout w:type="fixed"/>
        <w:tblCellMar>
          <w:top w:w="28" w:type="dxa"/>
          <w:left w:w="28" w:type="dxa"/>
          <w:bottom w:w="28" w:type="dxa"/>
          <w:right w:w="28" w:type="dxa"/>
        </w:tblCellMar>
      </w:tblPr>
      <w:tblGrid>
        <w:gridCol w:w="813"/>
        <w:gridCol w:w="716"/>
        <w:gridCol w:w="720"/>
        <w:gridCol w:w="540"/>
        <w:gridCol w:w="541"/>
        <w:gridCol w:w="421"/>
        <w:gridCol w:w="109"/>
        <w:gridCol w:w="109"/>
        <w:gridCol w:w="109"/>
        <w:gridCol w:w="540"/>
        <w:gridCol w:w="541"/>
        <w:gridCol w:w="54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QLH Class B-1 Units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8,324,220 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11,609,982 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6,937,524 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6,018,424 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shares</w:t>
            </w:r>
          </w:p>
        </w:tc>
        <w:tc>
          <w:tcPr>
            <w:tcW w:w="10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15,261,744 </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17,628,406 </w:t>
            </w:r>
          </w:p>
        </w:tc>
        <w:tc>
          <w:tcPr>
            <w:tcW w:w="5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outstanding PRSUs were not included in the potentially dilutive securities as of March 31, 2026 as the performance conditions have not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Non-Controlling Interest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QLH’s limited liability company agreement, QLH has two classes of equity securities, Class A-1 units, which have all voting rights in QLH, and Class B-1 units, which have no voting or control rights. The Company allocates a share of net income (loss) to the holders of non-controlling interests pro-rata to their ownership interest in QLH at a point in time. </w:t>
      </w:r>
    </w:p>
    <w:p>
      <w:pPr>
        <w:pStyle w:val="TextBody"/>
        <w:bidi w:val="0"/>
        <w:spacing w:lineRule="auto" w:line="288" w:before="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holders of the non-controlling interests had completed zero Exchanges. As of March 31, 2026, the holders of the non-controlling interests owned 13.2% of the total equity interests in QLH, with the remaining 86.8% owned by MediaAlpha, Inc. As of December 31, 2025, the holders of the non-controlling interests owned 12.9% of the total equity interests in QLH, with the remaining 87.1% owned by MediaAlpha,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3, 2026, the Company entered into a lease agreement for a new corporate headquarters comprised of approximately 21,000 square feet of office space located in Los Angeles, CA. The initial term of such lease is 65 months commencing upon the later of November 1, 2026 and substantial completion of the improvements in the premises by the landlord, which is expected to occur in the fourth quarter of 2026, after the expiration of the Company's current Los Angeles lease term. The Company has the option to extend the term for an additional 60 months. The aggregate base rent payments over the initial term of the lease are approximately $5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unaudited consolidated financial statements and related notes included in Part I, Item 1 of this Quarterly Report on Form 10-Q.</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Statement Regarding Forward-Looking Statements" in this Quarterly Report on Form 10-Q. You should review the disclosure under the heading "Risk Factors" in Part II, Item 1A of this Quarterly Report on Form 10-Q for a discussion of important factors that could cause our actual results to differ materially from those anticipated in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 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mission is to help insurance carriers and distributors target and acquire consumers more efficiently and at greater scale through technology and data science. Our technology platform brings together leading insurance carriers and high-intent consumers through a real-time, programmatic, transparent, and results-driven ecosystem. We believe we are the leading customer acquisition infrastructure for insurance carriers, supporting $1.2 billion in Revenue across our platform from our core verticals of property &amp; casualty ("P&amp;C") insurance, health insurance, and life insurance over the twelve-month period ended March 31,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expected LTV consumers, or an insurance-focused research destination or other financial website looking to monetize high-intent users on their websites. During the twelve-month period ended March 31, 2026, consumers shopping for insurance products through the websites of our diversified group of Supply Partners and our proprietary websites drove an average of 11.7 million Consumer Referrals on our platform each month.</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revenue by earning a fee for each Consumer Referral sold on our platform. A transaction becomes payable upon a qualifying consumer action, such as a click, call or lead, and is generally not contingent on the sale of a product to the consumer.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technology is a key differentiator and a powerful driver of our performance. We maintain deep, custom integrations with partners representing the majority of our revenue, which enable automated, data-driven processes that optimize our partners’ customer acquisition spend and revenue. Through our platform, our P&amp;C insurance carrier partners can target and price across over 35 separate consumer attributes to manage customized acquisition strategies.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Highlights</w:t>
      </w:r>
    </w:p>
    <w:tbl>
      <w:tblPr>
        <w:tblW w:w="8242" w:type="dxa"/>
        <w:jc w:val="left"/>
        <w:tblInd w:w="0" w:type="dxa"/>
        <w:tblLayout w:type="fixed"/>
        <w:tblCellMar>
          <w:top w:w="28" w:type="dxa"/>
          <w:left w:w="28" w:type="dxa"/>
          <w:bottom w:w="28" w:type="dxa"/>
          <w:right w:w="28" w:type="dxa"/>
        </w:tblCellMar>
      </w:tblPr>
      <w:tblGrid>
        <w:gridCol w:w="879"/>
        <w:gridCol w:w="774"/>
        <w:gridCol w:w="777"/>
        <w:gridCol w:w="109"/>
        <w:gridCol w:w="109"/>
        <w:gridCol w:w="109"/>
        <w:gridCol w:w="362"/>
        <w:gridCol w:w="1056"/>
        <w:gridCol w:w="187"/>
        <w:gridCol w:w="109"/>
        <w:gridCol w:w="109"/>
        <w:gridCol w:w="109"/>
        <w:gridCol w:w="255"/>
        <w:gridCol w:w="256"/>
        <w:gridCol w:w="109"/>
        <w:gridCol w:w="109"/>
        <w:gridCol w:w="109"/>
        <w:gridCol w:w="109"/>
        <w:gridCol w:w="209"/>
        <w:gridCol w:w="209"/>
        <w:gridCol w:w="211"/>
        <w:gridCol w:w="109"/>
        <w:gridCol w:w="109"/>
        <w:gridCol w:w="109"/>
        <w:gridCol w:w="355"/>
        <w:gridCol w:w="1036"/>
        <w:gridCol w:w="259"/>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Contribution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n/m - 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6"/>
        </w:rPr>
        <w:t>1.Adjusted EBITDA, Contribution, and Contribution Margin are non-GAAP financial measures. See “</w:t>
      </w:r>
      <w:hyperlink w:anchor="i0bbd7c4ad38f477b96054a2885db7683_94">
        <w:r>
          <w:rPr>
            <w:rStyle w:val="InternetLink"/>
          </w:rPr>
          <w:t xml:space="preserve">Management’s discussion and analysis of financial condition and results of operations-Key business and </w:t>
        </w:r>
      </w:hyperlink>
      <w:hyperlink w:anchor="i0bbd7c4ad38f477b96054a2885db7683_94">
        <w:r>
          <w:rPr>
            <w:rStyle w:val="InternetLink"/>
          </w:rPr>
          <w:t>financial</w:t>
        </w:r>
      </w:hyperlink>
      <w:hyperlink w:anchor="i0bbd7c4ad38f477b96054a2885db7683_94">
        <w:r>
          <w:rPr>
            <w:rStyle w:val="InternetLink"/>
          </w:rPr>
          <w:t xml:space="preserve"> metrics.</w:t>
        </w:r>
      </w:hyperlink>
      <w:r>
        <w:rPr>
          <w:rFonts w:ascii="Times New Roman;serif" w:hAnsi="Times New Roman;serif"/>
          <w:b w:val="false"/>
          <w:color w:val="000000"/>
          <w:sz w:val="16"/>
        </w:rPr>
        <w:t>” for additional information regarding the Company’s Non-GAAP metrics.</w:t>
      </w:r>
    </w:p>
    <w:p>
      <w:pPr>
        <w:pStyle w:val="TextBody"/>
        <w:bidi w:val="0"/>
        <w:spacing w:before="60" w:after="283"/>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revenue was $310.0 million, an increase of 17.3% compared with the three months ended March 31, 2025, driven primarily by significant increases in customer acquisition spending by P&amp;C Demand Partners as they continue to focus on growth and increasing market share in response to strong underwriting profitability, offset in part by a decline in revenue from our Health insurance vertical, in both under-65 health and Medicare, due primarily to our decision to scale back the under-65 health sub-vertical.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which generally represents revenue less revenue share payments and online advertising costs, was $48.7 million for the three months ended March 31, 2026, a year-over-year increase of 10.6%, driven primarily by a higher mix of Open Marketplace transactions, which are recorded on a gross basis and carry associated revenue share costs. Contribution Margin was 15.7% in the three months ended March 31, 2026, compared with 16.6% in the three months ended March 31,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March 31, 2026 was $14.0 million, compared with a net loss of $2.3 million for the three months ended March 31, 2025, due primarily to an increase in gross profit. In addition, in the three months ended March 31, 2025 we incurred a write-off of $13.4 million of certain acquired intangible assets and a charge of $5.0 million to increase our reserve related to FTC Matter.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March 31, 2026 was $31.4 million, a year-over-year increase of 6.8%, due primarily to higher gross profit.</w:t>
      </w:r>
    </w:p>
    <w:p>
      <w:pPr>
        <w:pStyle w:val="TextBody"/>
        <w:bidi w:val="0"/>
        <w:spacing w:before="0" w:after="0"/>
        <w:ind w:left="0" w:right="0" w:firstLine="72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developments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25, 2026, we entered into an amendment and restatement agreement to our Existing Credit Agreement, which provides for a new senior secured term loan facility in an aggregate principal amount of $150.0 million and a new senior secured revolving credit facility with commitments in an aggregate amount of $60.0 million, which replaced our Existing Credit Facilities. The proceeds of the new term loan facility, together with $15.0 million drawn on the 2026 Revolving Credit Facility upon the closing of the transaction, were used to refinance the $146.6 million of existing term loans outstanding and $5.0 million of existing revolving loans outstanding under the Existing Credit Agreement, and to pay the accrued and unpaid interest on such loans as of the date of the Amendment and Restatement Agreement and the fees related to the refinancing transactions, as well as to provide cash for general corporate purposes. See “Liquidity and Capital Resources” below for additional information regarding these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3, 2026, we entered into a lease agreement for a new corporate headquarters comprised of approximately 21,000 square feet of office space located in Los Angeles, CA. The initial term of such lease is 65 months commencing upon the later of November 1, 2026 and substantial completion of the improvements in the premises by the landlord, which is expected to occur in the fourth quarter of 2026. We have the option to extend the term for 60 months.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18, 2026, our Board of Directors authorized an increase in the previously approved Repurchase Program by $50.0 million, to a total of up to $100.0 million ("Repurchase Program"). As of March 31, 2026, we had repurchased 3,173,374 shares of Class A common stock for aggregate consideration of $34.6 million under the Repurchase Program and expect to complete the vast majority of the Repurchase Program by the end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factors affecting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future performance will depend on many factors, including those described below and in Part I, Item 1A "Risk Factors" in our 2025 Annual Report on Form 10-K and under Part II, Item 1A "Risk Factors" in this Quarterly Report on Form 10-Q.</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Secular trends in the insurance industry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technology platform was created to serve and grow with our core insurance end markets. We believe secular trends in the insurance industry are critical drivers of our revenue and will continue to provide strong tailwinds for our business over the long term. Customer acquisition spending by insurance carriers is growing over time, and as more consumers shop for insurance online, direct-to-consumer marketing, which fuels our revenue, has become the fastest growing insurance distribution channel. As mass-market customer acquisition becomes more costly, insurance carriers and distributors are increasingly focusing on optimizing customer acquisition spend, which is at the core of the service we deliver on our platform. As long as these secular trends persist, we expect digital insurance customer acquisition spending to continue to grow over time, and we believe we are well-positioned to benefit from this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health vertical, we aim to drive deeper adoption and integration of our platform within the Medicare Advantage ecosystem. We believe that the Medicare Advantage market represents a substantial opportunity for us, but this market is currently facing challenges due primarily to fluctuating carrier loss ratios and reimbursement rate increases. These underlying market pressures have created a difficult environment for customer acquisition, with carriers pulling back or reallocating marketing spend in response to volatile plan economics.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Transaction Value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“Transaction Value” as the total gross dollars transacted by our partners on our platform. Transaction Value is an operating metric not presented in accordance with GAAP, and is a driver of revenue based on the economic relationships we have with our partners. Effective with the first quarter of 2026, we have discontinued reporting of Transaction Value to simplify our reporting structure. As our scale advantage has become well-established, we believe that Revenue, Contribution and Contribution Margin, and Adjusted EBITDA are the most relevant metrics for evaluating our performance relative to our peers.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Demand and Supply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on our ability to retain and grow the number of high-quality Demand Partners and Supply Partners on our platform. We retain and attract Demand Partners in part by finding high-quality sources of Consumer Referrals to make available to our Demand Partners. We obtain these Consumer Referrals from our diverse network of Supply Partners as well as from our proprietary properties. We seek to develop, acquire and retain relationships with high-quality Supply Partners by developing flexible platforms to enable our Supply Partners to maximize their revenue, manage their demand side relationships in scalable and flexible ways and focus on long-term sustainable economics with respect to revenue share. Our relationships with our partners are deep and long standing and involve most of the top-tier insurance carriers in the industry. In terms of Demand Partners, during the three months ended March 31, 2026, 16 of the top 20 largest auto insurance carriers by customer acquisition spend in 2025 were active on our platform.</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Consumer Referrals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“Consumer Referral” as any consumer click, call or lead purchased by a Demand Partner on our platform. The data we generate from each Consumer Referral feeds into our analytics model to generate conversion probabilities for each unique consumer, enabling discovery of predicted return and cost per sale across the platform and helping us to improve our platform technology. We monitor the number of Consumer Referrals on our platform in order to measure revenue and overall business performance across our verticals and platform models.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depend in large part on the number of Consumer Referrals purchased on our platform and the pricing of such Consumer Referrals. The aggregate number of consumer clicks, calls, and leads purchased by Demand Partners on our platform decreased to 34.2 million for the three months ended March 31, 2026, from 35.0 million for the three months ended March 31, 2025, respectively due primarily to our actions to scale back the under-65 Health sub-vertical and address concerns raised by the FTC. We seek to increase the number and scale of our supply relationships and drive consumers to our proprietary properties through a variety of paid traffic acquisition sources. We continuously look to diversify our paid media sources to extend beyond search engine marketing, which has historically represented the bulk of our paid media spend. We expect artificial intelligence (AI) based platforms, including large language models, to become significant traffic acquisition sources for us and our Supply Partners and drive incremental traffic to our marketplace.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Cyclicality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are also subject to fluctuations as a result of business cycles experienced by companies in the P&amp;C insurance industry. These cycles in the P&amp;C insurance industry are characterized by periods of “soft” market conditions, when carriers are profitable and are focused on increasing capacity and building market share, and “hard” market conditions, when carriers are experiencing lower or even negative underwriting profits and are seeking to increase their premium rates to improve their profitability. As our Demand Partners in the P&amp;C insurance industry go through these market cycles, they often increase their customer acquisition spending during soft markets and reduce it during hard markets, causing their relative demand for Consumer Referrals from our platform to increase and decrease accordingly. For example, beginning in the second half of 2021, the P&amp;C insurance industry entered a “hard” market, with many carriers experiencing lower than expected underwriting profitability due to higher than expected inflation in automobile claims costs, causing them to significantly reduce their customer acquisition spending on our platform. In late 2023, P&amp;C insurance industry profitability began to improve as premium increases began to outpace loss cost inflation, causing them to begin to resume their marketing investments. This recovery gained significant momentum during 2024 and 2025 as the industry re-entered a soft market and multiple carriers meaningfully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increased their spending in our marketplaces. During the first quarter of 2026, the ongoing geopolitical conflict in the Middle East has caused significant increases in energy prices and disruption in supply chains for certain products. In the event that such war escalates or continues for an extended period of time, it could result in higher prices and/or supply chain disruptions for auto parts, driving up automobile claims costs and negatively impacting P&amp;C insurance carrier underwriting profitability, which could cause them to reduce their customer acquisition spending on our platform. We have not seen any material impact of these events on carrier spending levels on our platform to date.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are subject to fluctuations as a result of seasonality. In particular, our P&amp;C insurance vertical is typically characterized by seasonal strength in our quarters ending March 31 due to a greater supply of Consumer Referrals and higher customer acquisition budgets during the start of the year, and by seasonal weakness in our quarters ending December 31 due to a lower supply of Consumer Referrals available on a cost-effective basis and lower customer acquisition budgets from some buyers during those quarters. Our health insurance vertical is typically characterized by seasonal strength in our quarters ending December 31 due to open enrollment periods for health insurance and annual enrollment for Medicare during those quarters, with a material increase in consumer search volume for health products and a related increase in buyer customer acquisition budgets.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factors affecting our partners’ businesses include macro factors such as credit availability in the market, the strength of the economy and employment levels.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Regulations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and earnings may fluctuate from time to time as a result of federal, state, international and industry-based laws, directives and regulations and developing standards with respect to the enforcement of those regulations. Our business is affected directly because we operate websites, conduct telemarketing and email marketing and collect, process, store, share, disclose, transfer and use consumer information and other data. Our business is affected indirectly as our clients adjust their operations as a result of regulatory changes and enforcement activity within their industries. For example, the FTC has recently started taking a new position (in recent public statements and enforcement actions) regarding the consent rules under the Telemarketing Sales Rule ("TSR"). These changes have required, and may in the future require, both us and our Partners to adjust their telemarketing activities. While it is unclear how some of these changes may ultimately be interpreted, they may have a significant impact on the market for leads, and may require us and our Partners to modify our telemarketing practices and policies. In addition, the California Consumer Privacy Act ("CCPA") became effective on January 1, 2020 and has been amended by the California Privacy Rights Act ("CPRA"), which became effective January 1, 2023, and more than 30 other states have enacted or are considering similar laws, all of which may affect our business. While it is unclear how this new legislation may be modified or how certain provisions will be interpreted, the effects of this legislation are potentially significant, and may require us to modify our data processing practices and policies and incur substantial compliance-related costs and expenses. In addition, we are licensed as a health insurance broker in all 50 states and the District of Columbia, making us subject to certain insurance laws and regulations. Our Medicare business is also subject to federal rules governing the marketing of such policies. For a description of laws and regulations to which we are generally subject, see Item 1 “Business” and Item 1A “Risk Factors.” in our 2025 Annual Report on Form 10-K and under Part II, Item 1A "Risk Factors" in this Quarterly Report on Form 10-Q.</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impacted by the regulation of the insurance carriers with whom we do business. In most states, insurance carriers are required to obtain approval of their premium rates from the regulatory authority in such states. The timing of such approval process, as well as the willingness of insurance regulators to approve rate increases, can impact the profitability of new policies and the level of customer acquisition spending by carriers in a given period, which in turn can cause fluctuations in our revenue and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primarily in the P&amp;C insurance, health insurance, and life insurance verticals and generate revenue through the purchase and sale of Consumer Referrals.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price and amount of Consumer Referrals purchased and sold on our platform vary based on a number of market conditions and consumer attributes, including (i) geographic location of consumers, (ii) demographic attributes of consumers, (iii) the source of Consumer Referrals and quality of conversion by source, (iv) the volume of Consumer Referrals provided by our Supply Partners, (v) Demand Partner bid levels and (vi) Demand Partner demand and budgets.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Open Marketplace transactions, we generate revenue by delivering qualified clicks, calls, and leads and have control over these Consumer Referrals that are sold to our customers (Demand Partners) on our technology platform. In these arrangements, we have separate agreements with our suppliers (Supply Partners) and Demand Partners. Supply Partners are not a party to the contractual arrangements with our Demand Partners, nor are the Supply Partners the beneficiaries of our Demand Partner agreements. We separately pay (i) a revenue share to Supply Partners or (ii) a fee to internet search companies to drive consumers to our proprietary websites. We are the principal in Open Marketplace transactions. As a result, the price paid by the Demand Partners for Consumer Referrals sold is recognized as revenue and the price paid to the Supply Partner is included in cost of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Private Marketplace transactions, Supply Partners and Demand Partners contract with one another directly. In these transactions, we act as an agent, facilitating the sale of Consumer Referrals between these Supply and Demand Partners, by providing access to our platform to the Supply Partner for their use as a tracking, reporting, optimization, and analytics tool in transacting with the Demand Partner, and we generate revenue by charging the Supply Partner a platform fee on the Consumer Referrals transacted, which is a negotiated percentage of the Transaction Value of such transactions. We do not make any payments to Supply Partners in our Private Marketplace transactions.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Costs and operating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 consist primarily of cost of revenue, sales and marketing expenses, product expenses and general and administrative expenses.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revenue is comprised primarily of revenue share payments to Supply Partners and traffic acquisition costs paid to search engines and social media platforms, as well as telephony infrastructure costs, internet and hosting costs, and merchant fees, and includes salaries, wages, equity-based compensation, the cost of health and other employee benefits for employees engaged in media buying, and other expenses including an allocated portion of rent and facilities expenses.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an allocation of personnel expenses for employees engaged in demand side and supply side business development and marketing, and include salaries, wages, equity-based compensation, and the cost of health and other employee benefits. Sales and marketing expenses also include costs related to attracting partners to our platform, including marketing and promotions, tradeshows and related travel and entertainment expenses. Sales and marketing expenses also include an allocated portion of rent and facilities expenses and depreciation and amortization expense.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Product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expenses consist primarily of an allocation of personnel expenses for employees engaged in technology, engineering and product development and include salaries, wages, equity-based compensation, and the cost of health and other employee benefits. Product development expenses also include an allocated portion of rent and facilities expenses and depreciation and amortization expense.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an allocation of personnel expenses for executive, finance, legal, people operations, and business analytics employees, and include salaries, wages, equity-based compensation, and the cost of health and other employee benefits. General and administrative expenses also include professional services, an allocated portion of rent and facilities expenses and depreciation and amortization expense.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(income), net consists primarily of expenses and income not incurred by us in our ordinary course of business and that are not included in any of the categories listed above.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interest expense associated with outstanding borrowings under our 2021 Credit Facilities and 2026 Credit Facilities and the amortization of deferred financing costs associated with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MediaAlpha, Inc. is taxed as a corporation and pays corporate federal, state and local taxes on income allocated to it from QLH based upon MediaAlpha, Inc.’s economic interest held in QLH. QLH is treated as a pass-through partnership for income tax reporting purposes and is not subject to federal income tax. Instead, QLH’s taxable income or loss is passed through to its members, including MediaAlpha, Inc., pro-rata to their ownership interest in QLH. Accordingly, as our ownership interest in QLH increases, our share of the taxable income (loss) of QLH also increases. As of March 31, 2026, our ownership interest in QLH was 86.8%.</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income (loss) attributable to non-controlling interest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(loss) is attributed to non-controlling interests in accordance with QLH’s limited liability company agreement. We allocate a share of the pre-tax income (loss) of the QLH incurred subsequent to the Reorganization Transactions to the non-controlling interest holders pro-rata to their ownership interest in QLH.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Operating results for the three months ended March 31,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operating results in absolute dollars and as a percentage of revenue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851"/>
        <w:gridCol w:w="1421"/>
        <w:gridCol w:w="1424"/>
        <w:gridCol w:w="109"/>
        <w:gridCol w:w="109"/>
        <w:gridCol w:w="109"/>
        <w:gridCol w:w="219"/>
        <w:gridCol w:w="862"/>
        <w:gridCol w:w="109"/>
        <w:gridCol w:w="109"/>
        <w:gridCol w:w="109"/>
        <w:gridCol w:w="109"/>
        <w:gridCol w:w="308"/>
        <w:gridCol w:w="308"/>
        <w:gridCol w:w="271"/>
        <w:gridCol w:w="109"/>
        <w:gridCol w:w="109"/>
        <w:gridCol w:w="109"/>
        <w:gridCol w:w="219"/>
        <w:gridCol w:w="862"/>
        <w:gridCol w:w="109"/>
        <w:gridCol w:w="109"/>
        <w:gridCol w:w="109"/>
        <w:gridCol w:w="109"/>
        <w:gridCol w:w="308"/>
        <w:gridCol w:w="308"/>
        <w:gridCol w:w="318"/>
      </w:tblGrid>
      <w:tr>
        <w:trPr/>
        <w:tc>
          <w:tcPr>
            <w:tcW w:w="185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 per share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vertical, for the three months ended March 31, 2026 and 2025, and the dollar and percentage changes between the two periods:</w:t>
      </w:r>
    </w:p>
    <w:tbl>
      <w:tblPr>
        <w:tblW w:w="9054" w:type="dxa"/>
        <w:jc w:val="left"/>
        <w:tblInd w:w="0" w:type="dxa"/>
        <w:tblLayout w:type="fixed"/>
        <w:tblCellMar>
          <w:top w:w="28" w:type="dxa"/>
          <w:left w:w="28" w:type="dxa"/>
          <w:bottom w:w="28" w:type="dxa"/>
          <w:right w:w="28" w:type="dxa"/>
        </w:tblCellMar>
      </w:tblPr>
      <w:tblGrid>
        <w:gridCol w:w="938"/>
        <w:gridCol w:w="827"/>
        <w:gridCol w:w="830"/>
        <w:gridCol w:w="109"/>
        <w:gridCol w:w="109"/>
        <w:gridCol w:w="109"/>
        <w:gridCol w:w="259"/>
        <w:gridCol w:w="1014"/>
        <w:gridCol w:w="332"/>
        <w:gridCol w:w="109"/>
        <w:gridCol w:w="109"/>
        <w:gridCol w:w="109"/>
        <w:gridCol w:w="211"/>
        <w:gridCol w:w="721"/>
        <w:gridCol w:w="109"/>
        <w:gridCol w:w="109"/>
        <w:gridCol w:w="109"/>
        <w:gridCol w:w="109"/>
        <w:gridCol w:w="291"/>
        <w:gridCol w:w="294"/>
        <w:gridCol w:w="271"/>
        <w:gridCol w:w="109"/>
        <w:gridCol w:w="109"/>
        <w:gridCol w:w="109"/>
        <w:gridCol w:w="257"/>
        <w:gridCol w:w="1007"/>
        <w:gridCol w:w="385"/>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&amp; Casualty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292,788 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223,245 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Health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33,937 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310,004 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264,309 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P&amp;C insurance revenue for the three months ended March 31, 2026, compared with the three months ended March 31, 2025, was due to an increase in customer acquisition spending by P&amp;C insurance Demand Partners driven by significant year-over-year increases in marketing budgets and customer acquisition spending as well as to an increase in supply of Consumer Referrals due to the addition of new Supply Partners.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health insurance revenue for the three months ended March 31, 2026, compared with the three months ended March 31, 2025, was due primarily to our actions to scale back the under-65 Health sub-vertical and address concerns raised by the FTC. Additionally, revenue from the Medicare sub-vertical declined due to industry-wide headwinds resulting from increases in the Medical Loss Ratios (MLR) for carriers and changes to the enrollment programs, which drove lower demand from brokers, as well as to a higher mix of Private Marketplace transactions. Our primary focus in the health insurance vertical continues to be on Medicare Advantage, which we believe represents a large and growing opportunity where we are well positioned to capture future growth. Revenue from under-65 health declined from $25.9 million for three months ended March 31, 2025 to $3.8 million for the three months ended March 31, 2026. During the quarter we shut down our Open Marketplace in the under-65 Health sub-vertical for non-carrier Demand Partners, and we expect revenue from under-65 health for the full year 2026 to be in the range of $4.5 million to $5.5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life insurance revenue for the three months ended March 31, 2026, compared with the three months ended March 31, 2025, was due primarily to an increased supply of Consumer Referrals.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other revenue for the three months ended March 31, 2026, compared with the three months ended March 31, 2025, was driven primarily by lower revenue from our travel vertical as we have fully exited the vertical during the second quarter of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cost of revenue for the three months ended March 31, 2026 and 2025, and the dollar and percentage changes between the two periods:</w:t>
      </w:r>
    </w:p>
    <w:tbl>
      <w:tblPr>
        <w:tblW w:w="8290" w:type="dxa"/>
        <w:jc w:val="left"/>
        <w:tblInd w:w="0" w:type="dxa"/>
        <w:tblLayout w:type="fixed"/>
        <w:tblCellMar>
          <w:top w:w="28" w:type="dxa"/>
          <w:left w:w="28" w:type="dxa"/>
          <w:bottom w:w="28" w:type="dxa"/>
          <w:right w:w="28" w:type="dxa"/>
        </w:tblCellMar>
      </w:tblPr>
      <w:tblGrid>
        <w:gridCol w:w="689"/>
        <w:gridCol w:w="607"/>
        <w:gridCol w:w="609"/>
        <w:gridCol w:w="109"/>
        <w:gridCol w:w="109"/>
        <w:gridCol w:w="109"/>
        <w:gridCol w:w="259"/>
        <w:gridCol w:w="1014"/>
        <w:gridCol w:w="332"/>
        <w:gridCol w:w="109"/>
        <w:gridCol w:w="109"/>
        <w:gridCol w:w="109"/>
        <w:gridCol w:w="211"/>
        <w:gridCol w:w="721"/>
        <w:gridCol w:w="109"/>
        <w:gridCol w:w="109"/>
        <w:gridCol w:w="109"/>
        <w:gridCol w:w="109"/>
        <w:gridCol w:w="255"/>
        <w:gridCol w:w="256"/>
        <w:gridCol w:w="271"/>
        <w:gridCol w:w="109"/>
        <w:gridCol w:w="109"/>
        <w:gridCol w:w="109"/>
        <w:gridCol w:w="257"/>
        <w:gridCol w:w="1007"/>
        <w:gridCol w:w="385"/>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19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263,305 </w:t>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222,670 </w:t>
            </w:r>
          </w:p>
        </w:tc>
        <w:tc>
          <w:tcPr>
            <w:tcW w:w="3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332"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385"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cost of revenue for the three months ended March 31, 2026, compared with the three months ended March 31, 2025, was driven primarily by higher revenue share payments to Supply Partners due to the overall increase in revenue and lower take rates in our Open Marketplace, offset in part by higher transactions in our Private Marketplaces, which have a lower impact on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sales and marketing expenses for the three months ended March 31, 2026 and 2025, and the dollar and percentage changes between the two periods:</w:t>
      </w:r>
    </w:p>
    <w:tbl>
      <w:tblPr>
        <w:tblW w:w="8077" w:type="dxa"/>
        <w:jc w:val="left"/>
        <w:tblInd w:w="0" w:type="dxa"/>
        <w:tblLayout w:type="fixed"/>
        <w:tblCellMar>
          <w:top w:w="28" w:type="dxa"/>
          <w:left w:w="28" w:type="dxa"/>
          <w:bottom w:w="28" w:type="dxa"/>
          <w:right w:w="28" w:type="dxa"/>
        </w:tblCellMar>
      </w:tblPr>
      <w:tblGrid>
        <w:gridCol w:w="688"/>
        <w:gridCol w:w="607"/>
        <w:gridCol w:w="609"/>
        <w:gridCol w:w="109"/>
        <w:gridCol w:w="109"/>
        <w:gridCol w:w="109"/>
        <w:gridCol w:w="308"/>
        <w:gridCol w:w="900"/>
        <w:gridCol w:w="396"/>
        <w:gridCol w:w="109"/>
        <w:gridCol w:w="109"/>
        <w:gridCol w:w="109"/>
        <w:gridCol w:w="211"/>
        <w:gridCol w:w="541"/>
        <w:gridCol w:w="109"/>
        <w:gridCol w:w="109"/>
        <w:gridCol w:w="109"/>
        <w:gridCol w:w="109"/>
        <w:gridCol w:w="239"/>
        <w:gridCol w:w="241"/>
        <w:gridCol w:w="271"/>
        <w:gridCol w:w="109"/>
        <w:gridCol w:w="109"/>
        <w:gridCol w:w="109"/>
        <w:gridCol w:w="304"/>
        <w:gridCol w:w="889"/>
        <w:gridCol w:w="456"/>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190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3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4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sales and marketing expenses for the three months ended March 31, 2026, compared with the three months ended March 31, 2025, was due primarily to a decrease in amortization expense of $0.7 million, offset in part by an increase in personnel-related costs of $0.4 million due primarily to higher headcount.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Product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product development expenses for the three months ended March 31, 2026 and 2025, and the dollar and percentage changes between the two periods:</w:t>
      </w:r>
    </w:p>
    <w:tbl>
      <w:tblPr>
        <w:tblW w:w="8033" w:type="dxa"/>
        <w:jc w:val="left"/>
        <w:tblInd w:w="0" w:type="dxa"/>
        <w:tblLayout w:type="fixed"/>
        <w:tblCellMar>
          <w:top w:w="28" w:type="dxa"/>
          <w:left w:w="28" w:type="dxa"/>
          <w:bottom w:w="28" w:type="dxa"/>
          <w:right w:w="28" w:type="dxa"/>
        </w:tblCellMar>
      </w:tblPr>
      <w:tblGrid>
        <w:gridCol w:w="688"/>
        <w:gridCol w:w="606"/>
        <w:gridCol w:w="610"/>
        <w:gridCol w:w="109"/>
        <w:gridCol w:w="109"/>
        <w:gridCol w:w="109"/>
        <w:gridCol w:w="308"/>
        <w:gridCol w:w="900"/>
        <w:gridCol w:w="396"/>
        <w:gridCol w:w="109"/>
        <w:gridCol w:w="109"/>
        <w:gridCol w:w="109"/>
        <w:gridCol w:w="211"/>
        <w:gridCol w:w="466"/>
        <w:gridCol w:w="109"/>
        <w:gridCol w:w="109"/>
        <w:gridCol w:w="109"/>
        <w:gridCol w:w="109"/>
        <w:gridCol w:w="255"/>
        <w:gridCol w:w="256"/>
        <w:gridCol w:w="271"/>
        <w:gridCol w:w="109"/>
        <w:gridCol w:w="109"/>
        <w:gridCol w:w="109"/>
        <w:gridCol w:w="304"/>
        <w:gridCol w:w="889"/>
        <w:gridCol w:w="456"/>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190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3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4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product development expenses for the three months ended March 31, 2026, compared with the three months ended March 31, 2025, was driven primarily by an increase in personnel-related costs of $0.5 million due primarily to higher headcount.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general and administrative expenses for the three months ended March 31, 2026 and 2025, and the dollar and percentage changes between the two periods:</w:t>
      </w:r>
    </w:p>
    <w:tbl>
      <w:tblPr>
        <w:tblW w:w="8740"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281"/>
        <w:gridCol w:w="962"/>
        <w:gridCol w:w="361"/>
        <w:gridCol w:w="109"/>
        <w:gridCol w:w="109"/>
        <w:gridCol w:w="109"/>
        <w:gridCol w:w="211"/>
        <w:gridCol w:w="691"/>
        <w:gridCol w:w="109"/>
        <w:gridCol w:w="109"/>
        <w:gridCol w:w="109"/>
        <w:gridCol w:w="109"/>
        <w:gridCol w:w="293"/>
        <w:gridCol w:w="293"/>
        <w:gridCol w:w="271"/>
        <w:gridCol w:w="109"/>
        <w:gridCol w:w="109"/>
        <w:gridCol w:w="109"/>
        <w:gridCol w:w="279"/>
        <w:gridCol w:w="953"/>
        <w:gridCol w:w="418"/>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3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3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17,595 </w:t>
            </w:r>
          </w:p>
        </w:tc>
        <w:tc>
          <w:tcPr>
            <w:tcW w:w="4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61"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1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for the three months ended March 31, 2026, compared with the three months ended March 31, 2025, was due primarily to recording a charge of $5.0 million to the loss reserve and $1.9 million of legal fees related to the FTC settlement during the three months ended March 31, 2025, offset in part by $1.1 million of legal and other costs related to the 2026 Credit Facilities in the three months ended March 31, 2026, an increase in personnel-related costs of $0.8 million related to annual salary adjustments and higher headcount, and an increase in equity-based compensation expense of $0.4 million.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Write-off of 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write-off of intangible assets for the three months ended March 31, 2026 and 2025, and the dollar and percentage changes between the two periods:</w:t>
      </w:r>
    </w:p>
    <w:tbl>
      <w:tblPr>
        <w:tblW w:w="9594"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381"/>
        <w:gridCol w:w="734"/>
        <w:gridCol w:w="490"/>
        <w:gridCol w:w="109"/>
        <w:gridCol w:w="109"/>
        <w:gridCol w:w="109"/>
        <w:gridCol w:w="211"/>
        <w:gridCol w:w="796"/>
        <w:gridCol w:w="109"/>
        <w:gridCol w:w="109"/>
        <w:gridCol w:w="109"/>
        <w:gridCol w:w="109"/>
        <w:gridCol w:w="344"/>
        <w:gridCol w:w="346"/>
        <w:gridCol w:w="271"/>
        <w:gridCol w:w="109"/>
        <w:gridCol w:w="109"/>
        <w:gridCol w:w="109"/>
        <w:gridCol w:w="279"/>
        <w:gridCol w:w="953"/>
        <w:gridCol w:w="418"/>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95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Write-off of intangible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13,416 </w:t>
            </w:r>
          </w:p>
        </w:tc>
        <w:tc>
          <w:tcPr>
            <w:tcW w:w="4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90"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wrote off $13.4 million of customer relationships and trademarks, trade names, and domain names acquired as part of the Customer Helper Team, LLC acquisition as we did not expect any future cash inflows from these assets.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equity-based compensation expense that was included in costs and operating expenses for the three months ended March 31, 2026 and 2025, and the dollar and percentage changes between the two periods:</w:t>
      </w:r>
    </w:p>
    <w:tbl>
      <w:tblPr>
        <w:tblW w:w="8590" w:type="dxa"/>
        <w:jc w:val="left"/>
        <w:tblInd w:w="0" w:type="dxa"/>
        <w:tblLayout w:type="fixed"/>
        <w:tblCellMar>
          <w:top w:w="28" w:type="dxa"/>
          <w:left w:w="28" w:type="dxa"/>
          <w:bottom w:w="28" w:type="dxa"/>
          <w:right w:w="28" w:type="dxa"/>
        </w:tblCellMar>
      </w:tblPr>
      <w:tblGrid>
        <w:gridCol w:w="834"/>
        <w:gridCol w:w="736"/>
        <w:gridCol w:w="739"/>
        <w:gridCol w:w="109"/>
        <w:gridCol w:w="109"/>
        <w:gridCol w:w="109"/>
        <w:gridCol w:w="362"/>
        <w:gridCol w:w="1056"/>
        <w:gridCol w:w="187"/>
        <w:gridCol w:w="109"/>
        <w:gridCol w:w="109"/>
        <w:gridCol w:w="109"/>
        <w:gridCol w:w="211"/>
        <w:gridCol w:w="541"/>
        <w:gridCol w:w="109"/>
        <w:gridCol w:w="109"/>
        <w:gridCol w:w="109"/>
        <w:gridCol w:w="109"/>
        <w:gridCol w:w="293"/>
        <w:gridCol w:w="293"/>
        <w:gridCol w:w="271"/>
        <w:gridCol w:w="109"/>
        <w:gridCol w:w="109"/>
        <w:gridCol w:w="109"/>
        <w:gridCol w:w="355"/>
        <w:gridCol w:w="1036"/>
        <w:gridCol w:w="259"/>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3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18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equity-based compensation expense for the three months ended March 31, 2026, compared with the three months ended March 31, 2025, was immaterial.</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amortization of intangible asset expense that was included in costs and operating expenses for the three months ended March 31, 2026 and 2025, and the dollar and percentage changes between the two periods:</w:t>
      </w:r>
    </w:p>
    <w:tbl>
      <w:tblPr>
        <w:tblW w:w="8695"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431"/>
        <w:gridCol w:w="952"/>
        <w:gridCol w:w="222"/>
        <w:gridCol w:w="109"/>
        <w:gridCol w:w="109"/>
        <w:gridCol w:w="109"/>
        <w:gridCol w:w="211"/>
        <w:gridCol w:w="541"/>
        <w:gridCol w:w="109"/>
        <w:gridCol w:w="109"/>
        <w:gridCol w:w="109"/>
        <w:gridCol w:w="109"/>
        <w:gridCol w:w="344"/>
        <w:gridCol w:w="346"/>
        <w:gridCol w:w="271"/>
        <w:gridCol w:w="109"/>
        <w:gridCol w:w="109"/>
        <w:gridCol w:w="109"/>
        <w:gridCol w:w="355"/>
        <w:gridCol w:w="1036"/>
        <w:gridCol w:w="25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amortization expense for the three months ended March 31, 2026, compared with the three months ended March 31, 2025, was due primarily to the write-off of intangible assets acquired as part of the Customer Helper Team, LLC acquisition during the three months ended March 31,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other (income), net for the three months ended March 31, 2026 and 2025, and the dollar and percentage changes between the two periods:</w:t>
      </w:r>
    </w:p>
    <w:tbl>
      <w:tblPr>
        <w:tblW w:w="8111" w:type="dxa"/>
        <w:jc w:val="left"/>
        <w:tblInd w:w="0" w:type="dxa"/>
        <w:tblLayout w:type="fixed"/>
        <w:tblCellMar>
          <w:top w:w="28" w:type="dxa"/>
          <w:left w:w="28" w:type="dxa"/>
          <w:bottom w:w="28" w:type="dxa"/>
          <w:right w:w="28" w:type="dxa"/>
        </w:tblCellMar>
      </w:tblPr>
      <w:tblGrid>
        <w:gridCol w:w="689"/>
        <w:gridCol w:w="607"/>
        <w:gridCol w:w="609"/>
        <w:gridCol w:w="109"/>
        <w:gridCol w:w="109"/>
        <w:gridCol w:w="109"/>
        <w:gridCol w:w="331"/>
        <w:gridCol w:w="849"/>
        <w:gridCol w:w="425"/>
        <w:gridCol w:w="109"/>
        <w:gridCol w:w="109"/>
        <w:gridCol w:w="109"/>
        <w:gridCol w:w="211"/>
        <w:gridCol w:w="541"/>
        <w:gridCol w:w="109"/>
        <w:gridCol w:w="109"/>
        <w:gridCol w:w="109"/>
        <w:gridCol w:w="109"/>
        <w:gridCol w:w="255"/>
        <w:gridCol w:w="256"/>
        <w:gridCol w:w="271"/>
        <w:gridCol w:w="109"/>
        <w:gridCol w:w="109"/>
        <w:gridCol w:w="109"/>
        <w:gridCol w:w="326"/>
        <w:gridCol w:w="836"/>
        <w:gridCol w:w="488"/>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19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4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48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2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net for the three months ended March 31, 2026, compared with the three months ended March 31, 2025, was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interest expense for the three months ended March 31, 2026 and 2025, and the dollar and percentage changes between the two periods:</w:t>
      </w:r>
    </w:p>
    <w:tbl>
      <w:tblPr>
        <w:tblW w:w="8184" w:type="dxa"/>
        <w:jc w:val="left"/>
        <w:tblInd w:w="0" w:type="dxa"/>
        <w:tblLayout w:type="fixed"/>
        <w:tblCellMar>
          <w:top w:w="28" w:type="dxa"/>
          <w:left w:w="28" w:type="dxa"/>
          <w:bottom w:w="28" w:type="dxa"/>
          <w:right w:w="28" w:type="dxa"/>
        </w:tblCellMar>
      </w:tblPr>
      <w:tblGrid>
        <w:gridCol w:w="689"/>
        <w:gridCol w:w="607"/>
        <w:gridCol w:w="609"/>
        <w:gridCol w:w="109"/>
        <w:gridCol w:w="109"/>
        <w:gridCol w:w="109"/>
        <w:gridCol w:w="308"/>
        <w:gridCol w:w="900"/>
        <w:gridCol w:w="396"/>
        <w:gridCol w:w="109"/>
        <w:gridCol w:w="109"/>
        <w:gridCol w:w="109"/>
        <w:gridCol w:w="211"/>
        <w:gridCol w:w="541"/>
        <w:gridCol w:w="109"/>
        <w:gridCol w:w="109"/>
        <w:gridCol w:w="109"/>
        <w:gridCol w:w="109"/>
        <w:gridCol w:w="293"/>
        <w:gridCol w:w="293"/>
        <w:gridCol w:w="271"/>
        <w:gridCol w:w="109"/>
        <w:gridCol w:w="109"/>
        <w:gridCol w:w="109"/>
        <w:gridCol w:w="304"/>
        <w:gridCol w:w="889"/>
        <w:gridCol w:w="456"/>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19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3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4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three months ended March 31, 2026, compared with the three months ended March 31, 2025, was driven by the impact of lower interest rates as well as by lower outstanding balances during 2026.</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income tax expense (benefit) for the three months ended March 31, 2026 and 2025, and the dollar and percentage changes between the two periods:</w:t>
      </w:r>
    </w:p>
    <w:tbl>
      <w:tblPr>
        <w:tblW w:w="8377" w:type="dxa"/>
        <w:jc w:val="left"/>
        <w:tblInd w:w="0" w:type="dxa"/>
        <w:tblLayout w:type="fixed"/>
        <w:tblCellMar>
          <w:top w:w="28" w:type="dxa"/>
          <w:left w:w="28" w:type="dxa"/>
          <w:bottom w:w="28" w:type="dxa"/>
          <w:right w:w="28" w:type="dxa"/>
        </w:tblCellMar>
      </w:tblPr>
      <w:tblGrid>
        <w:gridCol w:w="889"/>
        <w:gridCol w:w="784"/>
        <w:gridCol w:w="787"/>
        <w:gridCol w:w="109"/>
        <w:gridCol w:w="109"/>
        <w:gridCol w:w="109"/>
        <w:gridCol w:w="308"/>
        <w:gridCol w:w="900"/>
        <w:gridCol w:w="396"/>
        <w:gridCol w:w="109"/>
        <w:gridCol w:w="109"/>
        <w:gridCol w:w="109"/>
        <w:gridCol w:w="211"/>
        <w:gridCol w:w="616"/>
        <w:gridCol w:w="109"/>
        <w:gridCol w:w="109"/>
        <w:gridCol w:w="109"/>
        <w:gridCol w:w="109"/>
        <w:gridCol w:w="140"/>
        <w:gridCol w:w="140"/>
        <w:gridCol w:w="140"/>
        <w:gridCol w:w="109"/>
        <w:gridCol w:w="109"/>
        <w:gridCol w:w="109"/>
        <w:gridCol w:w="361"/>
        <w:gridCol w:w="747"/>
        <w:gridCol w:w="541"/>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246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3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n/m - Not meaningful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recorded income tax expense of $6.5 million resulting from our effective tax rate of 31.6%, which differed from the U.S. federal statutory tax rate of 21%, due primarily to the tax impacts of income not taxable to us associated with the non-controlling interest, nondeductible officers' compensation, state taxes, and nondeductible equity-based compensation. For the three months ended March 31, 2025, we recorded an income tax benefit of $49 thousand resulting from our effective tax rate of 2.1%, which differed from the U.S. federal statutory tax rate of 21%, due primarily to the tax impacts of changes in valuation allowance.</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business and financial metrics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traditional financial metrics, we rely upon certain business and operating metrics that are not presented in accordance with GAAP to estimate the volume of spending on our platform, estimate and recognize revenue, evaluate our business performance and facilitate our operations. Such business and operating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with net income (loss), the most directly comparable financial measure calculated and presented in accordance with GAAP, for the three months ended March 31, 2026 and 2025:</w:t>
      </w:r>
    </w:p>
    <w:tbl>
      <w:tblPr>
        <w:tblW w:w="7341" w:type="dxa"/>
        <w:jc w:val="left"/>
        <w:tblInd w:w="0" w:type="dxa"/>
        <w:tblLayout w:type="fixed"/>
        <w:tblCellMar>
          <w:top w:w="28" w:type="dxa"/>
          <w:left w:w="28" w:type="dxa"/>
          <w:bottom w:w="28" w:type="dxa"/>
          <w:right w:w="28" w:type="dxa"/>
        </w:tblCellMar>
      </w:tblPr>
      <w:tblGrid>
        <w:gridCol w:w="1491"/>
        <w:gridCol w:w="1314"/>
        <w:gridCol w:w="1319"/>
        <w:gridCol w:w="109"/>
        <w:gridCol w:w="109"/>
        <w:gridCol w:w="109"/>
        <w:gridCol w:w="211"/>
        <w:gridCol w:w="721"/>
        <w:gridCol w:w="109"/>
        <w:gridCol w:w="109"/>
        <w:gridCol w:w="109"/>
        <w:gridCol w:w="109"/>
        <w:gridCol w:w="211"/>
        <w:gridCol w:w="721"/>
        <w:gridCol w:w="109"/>
        <w:gridCol w:w="109"/>
        <w:gridCol w:w="109"/>
        <w:gridCol w:w="109"/>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on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expenses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Write-off of intangible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in TRA related liability</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Tax Indemnification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expenses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(1)Transaction expenses for the three months ended March 31, 2026 consist of legal and other fees of $1.1 million and a loss on extinguishment of $0.2 million incurred by us in connection with the 2026 Credit Facilities.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(2)Write-off of intangible assets for the three months ended March 31, 2025 consists of a charge related to the write-off of customer relationships and trademarks, trade names, and domain names intangible assets acquired as part of the acquisition of Customer Helper Team, LLC.</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(3)Changes in TRA related liability consist of adjustments to the TRA liability to reflect probable future payments under the agreement.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(4)Legal expenses for the three months ended March 31, 2026 were immaterial. Legal expenses for the three months ended March 31, 2025, consist of an increase of $5.0 million to the loss reserve established in connection with the FTC Matter and legal fees and costs incurred in connection with such matter.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Contribution and Contribution Margin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Contribution with gross profit, the most directly comparable financial measure calculated and presented in accordance with GAAP, for the three months ended March 31, 2026 and 2025:</w:t>
      </w:r>
    </w:p>
    <w:tbl>
      <w:tblPr>
        <w:tblW w:w="9120" w:type="dxa"/>
        <w:jc w:val="left"/>
        <w:tblInd w:w="0" w:type="dxa"/>
        <w:tblLayout w:type="fixed"/>
        <w:tblCellMar>
          <w:top w:w="28" w:type="dxa"/>
          <w:left w:w="28" w:type="dxa"/>
          <w:bottom w:w="28" w:type="dxa"/>
          <w:right w:w="28" w:type="dxa"/>
        </w:tblCellMar>
      </w:tblPr>
      <w:tblGrid>
        <w:gridCol w:w="1943"/>
        <w:gridCol w:w="1710"/>
        <w:gridCol w:w="1716"/>
        <w:gridCol w:w="109"/>
        <w:gridCol w:w="109"/>
        <w:gridCol w:w="109"/>
        <w:gridCol w:w="211"/>
        <w:gridCol w:w="826"/>
        <w:gridCol w:w="271"/>
        <w:gridCol w:w="109"/>
        <w:gridCol w:w="109"/>
        <w:gridCol w:w="109"/>
        <w:gridCol w:w="211"/>
        <w:gridCol w:w="826"/>
        <w:gridCol w:w="271"/>
        <w:gridCol w:w="109"/>
        <w:gridCol w:w="109"/>
        <w:gridCol w:w="109"/>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 (as related to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wages, and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and hosting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Merchant-related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are our cash flows generated from operations and cash and funds available under the 2026 Revolving Credit Facility. Our principal uses of cash include funding of our operations, interest payments, share repurchases, and mandatory principal payments on our long-term debt. As of March 31, 2026 and December 31, 2025, our cash and cash equivalents totaled $26.1 million and $46.9 million, respectively. As of March 31, 2026, the aggregate principal amount outstanding under the 2026 Term Loan Facility was $150.0 million and our borrowing capacity available under the 2026 Revolving Credit Facility was $45.0 million. On March 25, 2026, we entered into an amendment and restatement agreement (the “Amendment and Restatement Agreement”) to the 2020 Credit Agreement dated as of September 23, 2020, as heretofore amended (the “Existing Credit Agreement” and, as amended and restated by the Amendment and Restatement Agreement) as discussed in detail below.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seasonal and cyclical in nature and these trends, if continued for a long period of time, could impact our cash flows generated from operations, requiring us to draw on our available borrowing capacity under the 2026 Revolving Credit Facility or raise additional funds in the short term.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28, 2025, our Board of Directors authorized a Share Repurchase Program to repurchase up to $50.0 million of shares of Class A common stock. Subsequently, on February 18, 2026, our Board of Directors authorized an increase in the Repurchase Program by $50.0 million, to a total of up to $100.0 million ("Repurchase Program"). During the three months ended March 31, 2026, we repurchased and retired 2,056,010 shares of Class A common stock under the Repurchase Program for aggregate consideration of $20.3 million. We may repurchase such shares through open market transactions, privately negotiated transactions, preset trading plans, block trades or any combination of such methods. The timing and amount of any share repurchases will be determined by us in our discretion based on the ongoing evaluation of market and economic conditions, the trading price and volume of the our Class A common stock, our capital needs and investment opportunities, and other factors. We expect to complete the vast majority of the Repurchase Program by the end of 2026, but it may be suspended or discontinued at any time, and does not obligate us to acquire any amount of Class A common stock. Shares repurchased under the Repurchase Program are accounted for as of the trade date with a corresponding liability, and the shares repurchased are immediately retired and returned to the status of authorized but unissued shares of Class A common stock. The excess between the repurchase price and the par value of the shares of Class A common stock repurchased is recorded as an adjustment to additional-paid-in capital.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expected near-term revenue, cash on hand and availability to access cash available under the 2026 Credit Facilities will be sufficient to meet our projected operating and debt service requirements, and we expect that we will continue to comply with our financial covenants under the 2026 Credit Facilities, for at least the next twelve months.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extent that our current liquidity is insufficient to fund future activities, or our financial results are below our expectations, or we do not remain in compliance with our financial covenants under the 2026 Credit Facilities, we may need to take additional actions to reduce operating costs, negotiate amendments to or waivers of the terms of such credit facilities, or raise additional capital. We have historically not used funds available under our credit facilities to fund our operations or to make payments required under our credit facilities.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engage in merger and acquisition or other activities, including share repurchases, that could require us to draw on our existing credit facilities or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Our material cash requirements include our long-term debt, operating lease obligations, and any payments under the TRA.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cash flows for the three months ended March 31, 2026 and 2025, and the dollar and percentage changes between the periods:</w:t>
      </w:r>
    </w:p>
    <w:tbl>
      <w:tblPr>
        <w:tblW w:w="10205" w:type="dxa"/>
        <w:jc w:val="left"/>
        <w:tblInd w:w="0" w:type="dxa"/>
        <w:tblLayout w:type="fixed"/>
        <w:tblCellMar>
          <w:top w:w="28" w:type="dxa"/>
          <w:left w:w="28" w:type="dxa"/>
          <w:bottom w:w="28" w:type="dxa"/>
          <w:right w:w="28" w:type="dxa"/>
        </w:tblCellMar>
      </w:tblPr>
      <w:tblGrid>
        <w:gridCol w:w="1014"/>
        <w:gridCol w:w="871"/>
        <w:gridCol w:w="874"/>
        <w:gridCol w:w="109"/>
        <w:gridCol w:w="109"/>
        <w:gridCol w:w="109"/>
        <w:gridCol w:w="389"/>
        <w:gridCol w:w="1445"/>
        <w:gridCol w:w="201"/>
        <w:gridCol w:w="109"/>
        <w:gridCol w:w="109"/>
        <w:gridCol w:w="109"/>
        <w:gridCol w:w="211"/>
        <w:gridCol w:w="769"/>
        <w:gridCol w:w="109"/>
        <w:gridCol w:w="109"/>
        <w:gridCol w:w="109"/>
        <w:gridCol w:w="109"/>
        <w:gridCol w:w="331"/>
        <w:gridCol w:w="332"/>
        <w:gridCol w:w="271"/>
        <w:gridCol w:w="109"/>
        <w:gridCol w:w="109"/>
        <w:gridCol w:w="109"/>
        <w:gridCol w:w="402"/>
        <w:gridCol w:w="1377"/>
        <w:gridCol w:w="301"/>
      </w:tblGrid>
      <w:tr>
        <w:trPr/>
        <w:tc>
          <w:tcPr>
            <w:tcW w:w="10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23,701 </w:t>
            </w:r>
          </w:p>
        </w:tc>
        <w:tc>
          <w:tcPr>
            <w:tcW w:w="30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used in operating activities were $1.6 million for the three months ended March 31, 2026, compared with cash flows provided by operating activities of $23.7 million for the three months ended March 31, 2025. The decrease was due primarily to a decrease in net working capital resulting from an increase in accounts receivable due to higher revenues and from payments of $11.5 million made in connection with the FTC Matter, offset in part by an increase in accounts payable due to the timing of payments, and an increase in net income.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were immaterial for the three months ended March 31, 2026 and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were $19.2 million for the three months ended March 31, 2026, compared with $3.3 million for the three months ended March 31, 2025. The increase was due primarily to payments made for share repurchases of $20.3 million and payments made pursuant to the TRA of $7.0 million, offset in part by the net proceeds received from the 2026 Credit Facilities, after repayment of the 2021 Credit Facilities.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Senior secured credit facilities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2026 Credit Facilities</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25, 2026, we entered into an amendment and restatement agreement (the “Amendment and Restatement Agreement”) to the 2020 Credit Agreement dated as of September 23, 2020, as heretofore amended (the “Existing Credit Agreement” and, as amended and restated by the Amendment and Restatement Agreement), with the lenders that are party thereto and JPMorgan Chase Bank, N.A., as administrative agent.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 and Restatement Agreement provides for (i) a new five-year senior secured term loan facility in an aggregate principal amount of $150 million (the "2026 Term Loan Facility"), and (ii) a new five-year senior secured revolving credit facility with commitments in an aggregate amount of $60 million (the "2026 Revolving Credit Facility" and, together with the 2026 Term Loan Facility, the "2026 Credit Facilities"), which replaced the existing term loan facility and revolving credit facility under the Existing Credit Agreement. The proceeds of the 2026 Term Loan Facility, together with $15.0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drawn on the 2026 Revolving Credit Facility upon the closing of the transaction, were used to refinance the $146.6 million of existing term loans outstanding and $5.0 million of existing revolving loans outstanding under the Existing Credit Agreement, and to pay the accrued and unpaid interest on such loans as of the date of the Amendment and Restatement Agreement and the fees related to the refinancing transactions, as well as to provide cash for general corporate purposes.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obligations under the 2026 Credit Facilities are secured by substantially all of the Company's assets and the Amendment and Restatement Agreement contains customary affirmative, negative and financial covenants and default provisions. The financial covenants include a minimum Fixed Charge Coverage Ratio and a maximum Total Net Leverage Ratio (in each case, as defined in the Amendment and Restatement Agreement). Non-financial covenants include restrictions on investments, dividends, asset sales, and the incurrence of additional debt and liens. As of March 31, 2026, the Company was in compliance with all such covenants.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Amendment and Restatement Agreement will bear interest at a rate equal to, at our option, (i) Term SOFR plus an applicable margin, (ii) Daily Simple SOFR plus an applicable margin or (iii) Alternate Base Rate plus an applicable margin (in each case, as defined in the Amendment and Restatement Agreement). The applicable margins will be based on our consolidated total net leverage ratio as calculated under the terms of the Amendment and Restatement Agreement for the prior fiscal quarter and range from 2.00% to 3.00% with respect to the SOFR-based rates and 1.00% to 2.00% with respect to the Alternate Base Rate.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under the 2026 Credit Facilities will mature on March 25, 2031. Loans under the 2026 Term Loan Facility will amortize quarterly, beginning with the fiscal quarter ending June 30, 2026, by an amount equal to (i) through the fiscal quarter ending March 31, 2030, 1.25% of the original aggregate principal amount of the term loans and (ii) for each fiscal quarter thereafter, 2.50% of the original aggregate principal amount of the term loans. Loans under the Amendment and Restatement Agreement may be prepaid, at our option, at any time without premium. Term loans under the Amendment and Restatement Agreement are required to be prepaid from time to time with the proceeds of non-ordinary course asset sales and casualty and condemnation events, subject to customary exceptions.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2026 Term Loan Facility was treated as a debt restructuring that included both debt modifications and extinguishments, in addition to new debt issuances. We capitalized $1.5 million of new and existing deferred financing costs which are classified within the current portion of long-term debt and long-term debt, net of current portion on the consolidated balance sheet and will be amortized over the term of the 2026 Term Loan Facility. Third-party costs of $1.1 million allocated to modifications in the 2026 Term Loan Facility were recorded as general and administrative expenses in the consolidated statement of operations. New and existing third-party costs and fees paid to lenders and allocated to the 2026 Revolving Credit Facility of $1.0 million were capitalized and classified within prepaid expenses and other current assets on the consolidated balance sheet and will be amortized over the term of the 2026 Revolving Credit Facility.</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$148.5 million of outstanding borrowings, net of deferred debt issuance costs of $1.5 million, under the 2026 Term Loan Facility, and $15.0 million of borrowings outstanding under the 2026 Revolving Credit Facility.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Tax receivables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purchases (through Intermediate Holdco) of Class B-1 units from certain unitholders in connection with the IPO, as well as exchanges of Class B-1 units subsequent to the IPO (together with an equal number of shares of our Class B common stock) for shares of our Class A common stock (or, at our election, cash of an equivalent value) ("Exchange"), and the Pre-IPO Leveraged Distribution and other actual or deemed distributions by QLH to its members pursuant to the Exchange Agreement, have resulted and are expected to continue to result in increases in our allocable tax basis in the assets of QLH. These increases in tax basis are expected to increase (for tax purposes) depreciation and amortization deductions allocable to us and, therefore, reduce the amount of tax that we otherwise would be required to pay in the future. This increase in tax basis may also decrease gain (or increase loss) on future dispositions of certain assets to the extent tax basis is allocated to those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we entered into the TRA, as amended, with Insignia, the Senior Executives, and White Mountains related to the tax basis step-up of the assets of QLH and certain net operating losses of Intermediate Holdco. The agreement requires us to pay Insignia and the Senior Executives or any assignees 85% of the cash savings, if any, in U.S. federal, state and local income tax we realize (or are deemed to realize) as a result of (i) any increases in tax basis of assets of QLH resulting from any Exchange, and (ii) certain other tax benefits related to making our payments under the TRA. The TRA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TRA. We amended the TRA on October 1, 2023 to, among other things, provide for use of a blended state tax rate and replace the LIBOR with the SOFR as the interest rate benchmark.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tax expenses, we may also make payments under the TRA, which could be significant. We account for the income tax effects and corresponding TRA effects resulting from any Exchange by recognizing an increase in our deferred tax assets, based on enacted tax rates at the date of the Exchange. We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TRA are estimated at the time of any purchase or exchange as a reduction to stockholders’ equity, and subsequent changes to the measurement of liability due to the effects of changes in any of our estimates after this date are recognized within other expense, net in the consolidated statement of operations. Similarly, the effect of subsequent changes in the enacted tax rates will be included in net income (loss). Judgment is required to assess the future tax consequences of events that have been recognized in our consolidated financial statements. A change in our assessment of such consequences, such as realization of deferred tax assets, changes in our assessment of probability of making payments under the TRA, changes in blended tax rates, changes in tax laws or interpretations thereof could materially impact our results. We believe we can generate sufficient future taxable income and determined that making payments under the TRA is probable under ASC 450 — Contingencies. As of March 31, 2026 and December 31, 2025, we recorded a liability of $123.4 million and $131.1 million, respectively, of which $6.8 million and $6.9 million, respectively, is considered current and recorded within accrued expenses, and the remaining amount is recorded within liabilities under tax receivables agreement, net of current portion, respectively,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new accounting pronouncements recently adopted and not yet adopted, see Note 1 to the consolidated financial statements appearing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included in our 2025 Annual Report on Form 10-K and did not materially change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subject to market risks. Market risk represents the risk of loss that may impact our financial position due to adverse changes in financial market prices and rates.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2026 Credit Facilities bear interest at a variable rate. As a result, we may be exposed to fluctuations in interest rates to the extent of our outstanding borrowings under the 2026 Credit Facilities. A hypothetical 1.0% increase or decrease in the interest rate associated with the 2021 Credit Facilities and 2026 Credit Facilities would have resulted in a $0.4 million impact on interest expense for the three months ended March 31,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Concentrations of credit risk and of significant Demand Partners and Supply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us to concentrations of credit risk consist primarily of cash and cash equivalents and accounts receivable. We maintain cash balances that can, at times, exceed amounts insured by the Federal Deposit Insurance Corporation. We have not experienced any losses in these accounts and believe we are not exposed to unusual risk beyond the normal credit risk in this area based on the financial strength of the institutions with which we maintain our deposits.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accounts receivable, which are unsecured, may expose us to credit risk based on their collectability. We control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 and recording allowances for credit losses. Our supplier concentration can also expose us to business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and supplier concentrations consisted of the below:</w:t>
      </w:r>
    </w:p>
    <w:tbl>
      <w:tblPr>
        <w:tblW w:w="10205" w:type="dxa"/>
        <w:jc w:val="left"/>
        <w:tblInd w:w="0" w:type="dxa"/>
        <w:tblLayout w:type="fixed"/>
        <w:tblCellMar>
          <w:top w:w="28" w:type="dxa"/>
          <w:left w:w="28" w:type="dxa"/>
          <w:bottom w:w="28" w:type="dxa"/>
          <w:right w:w="28" w:type="dxa"/>
        </w:tblCellMar>
      </w:tblPr>
      <w:tblGrid>
        <w:gridCol w:w="331"/>
        <w:gridCol w:w="291"/>
        <w:gridCol w:w="294"/>
        <w:gridCol w:w="838"/>
        <w:gridCol w:w="838"/>
        <w:gridCol w:w="841"/>
        <w:gridCol w:w="306"/>
        <w:gridCol w:w="679"/>
        <w:gridCol w:w="160"/>
        <w:gridCol w:w="199"/>
        <w:gridCol w:w="183"/>
        <w:gridCol w:w="409"/>
        <w:gridCol w:w="109"/>
        <w:gridCol w:w="109"/>
        <w:gridCol w:w="109"/>
        <w:gridCol w:w="838"/>
        <w:gridCol w:w="838"/>
        <w:gridCol w:w="841"/>
        <w:gridCol w:w="306"/>
        <w:gridCol w:w="679"/>
        <w:gridCol w:w="160"/>
        <w:gridCol w:w="192"/>
        <w:gridCol w:w="182"/>
        <w:gridCol w:w="473"/>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02"/>
        <w:gridCol w:w="441"/>
        <w:gridCol w:w="443"/>
        <w:gridCol w:w="776"/>
        <w:gridCol w:w="776"/>
        <w:gridCol w:w="779"/>
        <w:gridCol w:w="344"/>
        <w:gridCol w:w="591"/>
        <w:gridCol w:w="180"/>
        <w:gridCol w:w="200"/>
        <w:gridCol w:w="181"/>
        <w:gridCol w:w="391"/>
        <w:gridCol w:w="109"/>
        <w:gridCol w:w="109"/>
        <w:gridCol w:w="109"/>
        <w:gridCol w:w="776"/>
        <w:gridCol w:w="776"/>
        <w:gridCol w:w="779"/>
        <w:gridCol w:w="344"/>
        <w:gridCol w:w="591"/>
        <w:gridCol w:w="180"/>
        <w:gridCol w:w="192"/>
        <w:gridCol w:w="181"/>
        <w:gridCol w:w="455"/>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customers or suppliers exceeding 10%</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Value</w:t>
              <w:br/>
              <w:t>(in millions)</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officer and principal financial officer or persons performing similar functions, as appropriate to allow timely decisions regarding required disclosure. Based on their evaluation, our principal executive officer and our principal financial officer have concluded our disclosure controls and procedures were effective to provide reasonable assurance as of March 31, 2026.</w:t>
      </w:r>
    </w:p>
    <w:p>
      <w:pPr>
        <w:pStyle w:val="TextBody"/>
        <w:bidi w:val="0"/>
        <w:spacing w:lineRule="auto" w:line="288" w:before="240" w:after="283"/>
        <w:jc w:val="left"/>
        <w:rPr/>
      </w:pPr>
      <w:r>
        <w:rPr>
          <w:rFonts w:ascii="Times New Roman;serif" w:hAnsi="Times New Roman;serif"/>
          <w:b/>
          <w:i/>
          <w:color w:val="000000"/>
          <w:sz w:val="20"/>
        </w:rPr>
        <w:t>Changes</w:t>
      </w:r>
      <w:r>
        <w:rPr>
          <w:color w:val="000000"/>
        </w:rPr>
        <w:t xml:space="preserve"> </w:t>
      </w:r>
      <w:r>
        <w:rPr>
          <w:rFonts w:ascii="Times New Roman;serif" w:hAnsi="Times New Roman;serif"/>
          <w:b/>
          <w:i/>
          <w:color w:val="000000"/>
          <w:sz w:val="20"/>
        </w:rPr>
        <w:t>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during the three months ended March 31, 2026, that has materially affected, or is reasonably likely to materially affect, our internal control over financial reporting.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a party to various litigation matters incidental to the conduct of our business.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For more information regarding material lawsuits and proceedings (including those known to be contemplated by governmental authorities), see Part I, Item 1 </w:t>
      </w:r>
      <w:r>
        <w:rPr>
          <w:rFonts w:ascii="Times New Roman;serif" w:hAnsi="Times New Roman;serif"/>
          <w:b w:val="false"/>
          <w:i/>
          <w:color w:val="000000"/>
          <w:sz w:val="20"/>
        </w:rPr>
        <w:t>"Financial Statements—Note 5 to the Consolidated Financial Statements—Commitments and contingencies - Litigation and other matters"</w:t>
      </w:r>
      <w:r>
        <w:rPr>
          <w:color w:val="000000"/>
        </w:rPr>
        <w:t xml:space="preserve"> </w:t>
      </w:r>
      <w:r>
        <w:rPr>
          <w:rFonts w:ascii="Times New Roman;serif" w:hAnsi="Times New Roman;serif"/>
          <w:b w:val="false"/>
          <w:color w:val="000000"/>
          <w:sz w:val="20"/>
        </w:rPr>
        <w:t>of this Quarterly Report on Form 10-Q, which is hereby incorporated by reference in its entirety in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under Part I, Item 1A "Risk Factors" in the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share repurchase activity for the three months ended March 31, 2026:</w:t>
      </w:r>
    </w:p>
    <w:tbl>
      <w:tblPr>
        <w:tblW w:w="9237" w:type="dxa"/>
        <w:jc w:val="left"/>
        <w:tblInd w:w="0" w:type="dxa"/>
        <w:tblLayout w:type="fixed"/>
        <w:tblCellMar>
          <w:top w:w="28" w:type="dxa"/>
          <w:left w:w="28" w:type="dxa"/>
          <w:bottom w:w="28" w:type="dxa"/>
          <w:right w:w="28" w:type="dxa"/>
        </w:tblCellMar>
      </w:tblPr>
      <w:tblGrid>
        <w:gridCol w:w="976"/>
        <w:gridCol w:w="856"/>
        <w:gridCol w:w="867"/>
        <w:gridCol w:w="109"/>
        <w:gridCol w:w="109"/>
        <w:gridCol w:w="109"/>
        <w:gridCol w:w="500"/>
        <w:gridCol w:w="476"/>
        <w:gridCol w:w="426"/>
        <w:gridCol w:w="109"/>
        <w:gridCol w:w="109"/>
        <w:gridCol w:w="109"/>
        <w:gridCol w:w="244"/>
        <w:gridCol w:w="590"/>
        <w:gridCol w:w="126"/>
        <w:gridCol w:w="109"/>
        <w:gridCol w:w="109"/>
        <w:gridCol w:w="109"/>
        <w:gridCol w:w="524"/>
        <w:gridCol w:w="452"/>
        <w:gridCol w:w="446"/>
        <w:gridCol w:w="109"/>
        <w:gridCol w:w="109"/>
        <w:gridCol w:w="109"/>
        <w:gridCol w:w="211"/>
        <w:gridCol w:w="108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Units)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Paid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Unit)(3)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Units)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Plans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Programs(1)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Units) that May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Yet Be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 Plans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Programs(1)</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through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35,660,240 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 through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813,909 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718,788 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78,585,009 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 through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1,337,222 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1,337,222 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65,433,852 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2,151,131 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2,056,010 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i/>
          <w:color w:val="000000"/>
          <w:sz w:val="10"/>
        </w:rPr>
        <w:t>(1)</w:t>
      </w:r>
      <w:r>
        <w:rPr>
          <w:rFonts w:ascii="Times New Roman;serif" w:hAnsi="Times New Roman;serif"/>
          <w:b w:val="false"/>
          <w:color w:val="000000"/>
          <w:sz w:val="16"/>
        </w:rPr>
        <w:t>On October 28, 2025, our Board of Directors authorized a new Share Repurchase Program to repurchase up to $50.0 million of shares of Class A common stock, and on February 18, 2026 our Board authorized an increase in such program to up to $100.0 million. We may repurchase such shares through open market transactions, privately negotiated transactions, preset trading plans, block trades or any combination of such methods.</w:t>
      </w:r>
    </w:p>
    <w:p>
      <w:pPr>
        <w:pStyle w:val="TextBody"/>
        <w:bidi w:val="0"/>
        <w:spacing w:lineRule="auto" w:line="288" w:before="60" w:after="283"/>
        <w:ind w:left="0" w:right="0" w:hanging="180"/>
        <w:jc w:val="left"/>
        <w:rPr/>
      </w:pPr>
      <w:r>
        <w:rPr>
          <w:rFonts w:ascii="Times New Roman;serif" w:hAnsi="Times New Roman;serif"/>
          <w:b/>
          <w:i/>
          <w:color w:val="000000"/>
          <w:sz w:val="10"/>
        </w:rPr>
        <w:t>(2)</w:t>
      </w:r>
      <w:r>
        <w:rPr>
          <w:rFonts w:ascii="Times New Roman;serif" w:hAnsi="Times New Roman;serif"/>
          <w:b w:val="false"/>
          <w:color w:val="000000"/>
          <w:sz w:val="16"/>
        </w:rPr>
        <w:t>For February 2026, 95,121 shares of Class A Common Stock were withheld to satisfy tax withholding obligations in connection with the vesting of restricted stock units issued to employees of the Company. The Company withheld these shares at their fair market values based upon the closing prices of its Class A Common Shares as reported by the NYSE on the day preceding the vesting dates.</w:t>
      </w:r>
    </w:p>
    <w:p>
      <w:pPr>
        <w:pStyle w:val="TextBody"/>
        <w:bidi w:val="0"/>
        <w:spacing w:lineRule="auto" w:line="288" w:before="60" w:after="283"/>
        <w:ind w:left="0" w:right="0" w:hanging="180"/>
        <w:jc w:val="left"/>
        <w:rPr/>
      </w:pPr>
      <w:r>
        <w:rPr>
          <w:rFonts w:ascii="Times New Roman;serif" w:hAnsi="Times New Roman;serif"/>
          <w:b/>
          <w:i/>
          <w:color w:val="000000"/>
          <w:sz w:val="10"/>
        </w:rPr>
        <w:t>(3)</w:t>
      </w:r>
      <w:r>
        <w:rPr>
          <w:rFonts w:ascii="Times New Roman;serif" w:hAnsi="Times New Roman;serif"/>
          <w:b w:val="false"/>
          <w:color w:val="000000"/>
          <w:sz w:val="16"/>
        </w:rPr>
        <w:t>Includes commissions paid, but excludes any estimated excise taxes payable on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directors and officers, as defined in Section 16 of the Exchange Act (“Section 16”) may from time to time enter into plans for the purchase or sale of shares of our Class A common stock that are intended to satisfy the affirmative defense conditions of Rule 10b5-1(c) under the Exchange Act.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12, 2026, Steve Yi, our Chief Executive Officer, adopted a new Rule 10b5-1 trading plan. Mr. Yi’s trading plan provides for the sale of up to 1,000,050 shares of the Company’s Class A common stock, in amounts and at prices determined in accordance with formulas set forth in the plan. The plan terminates on the earlier of the date all shares under the plan are sold or November 30, 2026. The total shares that may be sold under the plan represent approximately 14% of the total shares (vested and unvested) owned by Mr. Yi and OBF Investments, LLC, which is owned by trusts for the benefit of Mr. Yi and members of his family, as of March 31,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 2026, Eugene Nonko, our Chief Architect, adopted a new Rule 10b5-1 trading plan. Mr. Nonko’s trading plan provides for the sale of up to 1,427,986 shares of the Company’s Class A common stock, in amounts and at prices determined in accordance with formulas set forth in the plan. The plan terminates on the earlier of the date all shares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plan are sold or November 25, 2026. The total shares that may be sold under the plan represent approximately 22% of the total shares (vested and unvested) owned by Mr. Nonko and his family investment entities as of March 31,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other director or officer of the Company adopted/modified and/or terminated a “Rule 10b5-1 trading arrangement” or “non-Rule 10b5-1 trading arrangement,” as each term is defined in Item 408(a) of Regulation S-K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6"/>
        <w:gridCol w:w="252"/>
        <w:gridCol w:w="253"/>
        <w:gridCol w:w="109"/>
        <w:gridCol w:w="109"/>
        <w:gridCol w:w="109"/>
        <w:gridCol w:w="1652"/>
        <w:gridCol w:w="1652"/>
        <w:gridCol w:w="1664"/>
        <w:gridCol w:w="109"/>
        <w:gridCol w:w="109"/>
        <w:gridCol w:w="109"/>
        <w:gridCol w:w="175"/>
        <w:gridCol w:w="175"/>
        <w:gridCol w:w="176"/>
        <w:gridCol w:w="109"/>
        <w:gridCol w:w="109"/>
        <w:gridCol w:w="109"/>
        <w:gridCol w:w="256"/>
        <w:gridCol w:w="256"/>
        <w:gridCol w:w="216"/>
        <w:gridCol w:w="109"/>
        <w:gridCol w:w="109"/>
        <w:gridCol w:w="109"/>
        <w:gridCol w:w="225"/>
        <w:gridCol w:w="225"/>
        <w:gridCol w:w="226"/>
        <w:gridCol w:w="109"/>
        <w:gridCol w:w="109"/>
        <w:gridCol w:w="109"/>
        <w:gridCol w:w="302"/>
        <w:gridCol w:w="236"/>
        <w:gridCol w:w="343"/>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Form of Performance-Based Restricted Stock Unit Award Agreement under 2020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001-39671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Amendment and Restatement Agreement dated March 25,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001-39671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x-20260331x10qexx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x-20260331x10qexx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x-20260331x10qexx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w:t>
      </w:r>
      <w:r>
        <w:rPr>
          <w:rFonts w:ascii="Times New Roman;serif" w:hAnsi="Times New Roman;serif"/>
          <w:b w:val="false"/>
          <w:i/>
          <w:color w:val="000000"/>
          <w:sz w:val="20"/>
        </w:rPr>
        <w:t>Management contract or compensatory plan or arrangement.</w:t>
      </w:r>
    </w:p>
    <w:p>
      <w:pPr>
        <w:pStyle w:val="TextBody"/>
        <w:bidi w:val="0"/>
        <w:spacing w:lineRule="auto" w:line="288" w:before="0" w:after="0"/>
        <w:ind w:left="0" w:right="0" w:hanging="360"/>
        <w:jc w:val="left"/>
        <w:rPr/>
      </w:pPr>
      <w:r>
        <w:rPr>
          <w:rFonts w:ascii="Times New Roman;serif" w:hAnsi="Times New Roman;serif"/>
          <w:b w:val="false"/>
          <w:color w:val="000000"/>
          <w:sz w:val="20"/>
        </w:rPr>
        <w:t>*    </w:t>
      </w:r>
      <w:r>
        <w:rPr>
          <w:rFonts w:ascii="Times New Roman;serif" w:hAnsi="Times New Roman;serif"/>
          <w:b w:val="false"/>
          <w:i/>
          <w:color w:val="000000"/>
          <w:sz w:val="20"/>
        </w:rPr>
        <w:t>Filed herewith.</w:t>
      </w:r>
    </w:p>
    <w:p>
      <w:pPr>
        <w:pStyle w:val="TextBody"/>
        <w:bidi w:val="0"/>
        <w:spacing w:lineRule="auto" w:line="288" w:before="0" w:after="0"/>
        <w:ind w:left="0" w:right="0" w:hanging="360"/>
        <w:jc w:val="left"/>
        <w:rPr/>
      </w:pPr>
      <w:r>
        <w:rPr>
          <w:rFonts w:ascii="Times New Roman;serif" w:hAnsi="Times New Roman;serif"/>
          <w:b w:val="false"/>
          <w:color w:val="000000"/>
          <w:sz w:val="20"/>
        </w:rPr>
        <w:t>**    </w:t>
      </w:r>
      <w:r>
        <w:rPr>
          <w:rFonts w:ascii="Times New Roman;serif" w:hAnsi="Times New Roman;serif"/>
          <w:b w:val="false"/>
          <w:i/>
          <w:color w:val="000000"/>
          <w:sz w:val="20"/>
        </w:rPr>
        <w:t>Furnished herewith. This exhibit should not be deemed to be "filed" for purposes of Section 18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bbd7c4ad38f477b96054a2885db768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70" w:type="dxa"/>
        <w:jc w:val="left"/>
        <w:tblInd w:w="0" w:type="dxa"/>
        <w:tblLayout w:type="fixed"/>
        <w:tblCellMar>
          <w:top w:w="28" w:type="dxa"/>
          <w:left w:w="28" w:type="dxa"/>
          <w:bottom w:w="28" w:type="dxa"/>
          <w:right w:w="28" w:type="dxa"/>
        </w:tblCellMar>
      </w:tblPr>
      <w:tblGrid>
        <w:gridCol w:w="200"/>
        <w:gridCol w:w="177"/>
        <w:gridCol w:w="178"/>
        <w:gridCol w:w="430"/>
        <w:gridCol w:w="430"/>
        <w:gridCol w:w="430"/>
        <w:gridCol w:w="940"/>
        <w:gridCol w:w="940"/>
        <w:gridCol w:w="13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MEDIAALPHA,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R. Thompson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Patrick R. Thompson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&amp;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Steve Yi,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MediaAlpha,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24" w:type="dxa"/>
        <w:jc w:val="center"/>
        <w:tblInd w:w="0" w:type="dxa"/>
        <w:tblLayout w:type="fixed"/>
        <w:tblCellMar>
          <w:top w:w="28" w:type="dxa"/>
          <w:left w:w="28" w:type="dxa"/>
          <w:bottom w:w="28" w:type="dxa"/>
          <w:right w:w="28" w:type="dxa"/>
        </w:tblCellMar>
      </w:tblPr>
      <w:tblGrid>
        <w:gridCol w:w="645"/>
        <w:gridCol w:w="568"/>
        <w:gridCol w:w="571"/>
        <w:gridCol w:w="1297"/>
        <w:gridCol w:w="1297"/>
        <w:gridCol w:w="184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Yi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Yi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President and Co-Founder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Patrick R. Thompson, certify that:</w:t>
      </w:r>
    </w:p>
    <w:p>
      <w:pPr>
        <w:pStyle w:val="TextBody"/>
        <w:bidi w:val="0"/>
        <w:spacing w:lineRule="auto" w:line="288" w:before="240" w:after="283"/>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MediaAlpha,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08" w:type="dxa"/>
        <w:jc w:val="center"/>
        <w:tblInd w:w="0" w:type="dxa"/>
        <w:tblLayout w:type="fixed"/>
        <w:tblCellMar>
          <w:top w:w="28" w:type="dxa"/>
          <w:left w:w="28" w:type="dxa"/>
          <w:bottom w:w="28" w:type="dxa"/>
          <w:right w:w="28" w:type="dxa"/>
        </w:tblCellMar>
      </w:tblPr>
      <w:tblGrid>
        <w:gridCol w:w="645"/>
        <w:gridCol w:w="568"/>
        <w:gridCol w:w="571"/>
        <w:gridCol w:w="944"/>
        <w:gridCol w:w="944"/>
        <w:gridCol w:w="133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Patrick R. Thompson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Patrick R. Thompson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 &amp; Treasurer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MediaAlpha, Inc. (the “Company”) for the quarterly period ended March 31,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269" w:type="dxa"/>
        <w:jc w:val="left"/>
        <w:tblInd w:w="0" w:type="dxa"/>
        <w:tblLayout w:type="fixed"/>
        <w:tblCellMar>
          <w:top w:w="28" w:type="dxa"/>
          <w:left w:w="28" w:type="dxa"/>
          <w:bottom w:w="28" w:type="dxa"/>
          <w:right w:w="28" w:type="dxa"/>
        </w:tblCellMar>
      </w:tblPr>
      <w:tblGrid>
        <w:gridCol w:w="645"/>
        <w:gridCol w:w="568"/>
        <w:gridCol w:w="571"/>
        <w:gridCol w:w="2002"/>
        <w:gridCol w:w="1028"/>
        <w:gridCol w:w="145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Yi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Yi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President, and Co-Founder</w:t>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MediaAlpha, Inc. (the “Company”) for the quarterly period ended March 31,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5008" w:type="dxa"/>
        <w:jc w:val="left"/>
        <w:tblInd w:w="0" w:type="dxa"/>
        <w:tblLayout w:type="fixed"/>
        <w:tblCellMar>
          <w:top w:w="28" w:type="dxa"/>
          <w:left w:w="28" w:type="dxa"/>
          <w:bottom w:w="28" w:type="dxa"/>
          <w:right w:w="28" w:type="dxa"/>
        </w:tblCellMar>
      </w:tblPr>
      <w:tblGrid>
        <w:gridCol w:w="645"/>
        <w:gridCol w:w="568"/>
        <w:gridCol w:w="571"/>
        <w:gridCol w:w="944"/>
        <w:gridCol w:w="944"/>
        <w:gridCol w:w="133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Patrick R. Thompson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Patrick R. Thompson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 &amp;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383/000181838326000080/exhibit101-formofprsuaward.htm" TargetMode="External"/><Relationship Id="rId3" Type="http://schemas.openxmlformats.org/officeDocument/2006/relationships/hyperlink" Target="https://www.sec.gov/Archives/edgar/data/1818383/000181838326000097/exhibit101-amendmentandre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21704</Words>
  <Characters>118355</Characters>
  <CharactersWithSpaces>138566</CharactersWithSpaces>
  <Paragraphs>2260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